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w w:val="90"/>
        </w:rPr>
      </w:pPr>
    </w:p>
    <w:p>
      <w:pPr>
        <w:spacing w:line="620" w:lineRule="exact"/>
        <w:jc w:val="center"/>
        <w:rPr>
          <w:w w:val="90"/>
        </w:rPr>
      </w:pPr>
    </w:p>
    <w:p>
      <w:pPr>
        <w:spacing w:line="620" w:lineRule="exact"/>
        <w:jc w:val="center"/>
        <w:rPr>
          <w:w w:val="90"/>
        </w:rPr>
      </w:pPr>
    </w:p>
    <w:p>
      <w:pPr>
        <w:spacing w:line="620" w:lineRule="exact"/>
        <w:jc w:val="center"/>
        <w:rPr>
          <w:w w:val="90"/>
        </w:rPr>
      </w:pPr>
    </w:p>
    <w:p>
      <w:pPr>
        <w:spacing w:line="620" w:lineRule="exact"/>
        <w:jc w:val="center"/>
        <w:rPr>
          <w:w w:val="90"/>
        </w:rPr>
      </w:pPr>
    </w:p>
    <w:p>
      <w:pPr>
        <w:spacing w:line="620" w:lineRule="exact"/>
        <w:jc w:val="center"/>
        <w:rPr>
          <w:w w:val="90"/>
        </w:rPr>
      </w:pPr>
    </w:p>
    <w:p>
      <w:pPr>
        <w:spacing w:line="620" w:lineRule="exact"/>
        <w:jc w:val="center"/>
        <w:rPr>
          <w:w w:val="90"/>
        </w:rPr>
      </w:pPr>
    </w:p>
    <w:p>
      <w:pPr>
        <w:jc w:val="center"/>
        <w:rPr>
          <w:rFonts w:ascii="仿宋_GB2312" w:eastAsia="仿宋_GB2312"/>
          <w:sz w:val="32"/>
          <w:szCs w:val="32"/>
        </w:rPr>
      </w:pPr>
      <w:r>
        <w:rPr>
          <w:rFonts w:hint="eastAsia" w:ascii="仿宋_GB2312" w:eastAsia="仿宋_GB2312"/>
          <w:sz w:val="32"/>
          <w:szCs w:val="32"/>
        </w:rPr>
        <w:t xml:space="preserve"> 宛卫</w:t>
      </w:r>
      <w:r>
        <w:rPr>
          <w:rFonts w:hint="eastAsia" w:ascii="楷体_GB2312" w:hAnsi="楷体_GB2312" w:eastAsia="楷体_GB2312"/>
          <w:sz w:val="32"/>
          <w:szCs w:val="32"/>
        </w:rPr>
        <w:t>〔</w:t>
      </w:r>
      <w:r>
        <w:rPr>
          <w:rFonts w:hint="eastAsia" w:ascii="仿宋_GB2312" w:eastAsia="仿宋_GB2312"/>
          <w:sz w:val="32"/>
          <w:szCs w:val="32"/>
        </w:rPr>
        <w:t>2019</w:t>
      </w:r>
      <w:r>
        <w:rPr>
          <w:rFonts w:hint="eastAsia" w:ascii="楷体_GB2312" w:eastAsia="楷体_GB2312"/>
          <w:sz w:val="32"/>
          <w:szCs w:val="32"/>
        </w:rPr>
        <w:t>〕</w:t>
      </w:r>
      <w:r>
        <w:rPr>
          <w:rFonts w:hint="eastAsia" w:ascii="楷体_GB2312" w:eastAsia="楷体_GB2312"/>
          <w:sz w:val="32"/>
          <w:szCs w:val="32"/>
          <w:lang w:val="en-US" w:eastAsia="zh-CN"/>
        </w:rPr>
        <w:t>83</w:t>
      </w:r>
      <w:r>
        <w:rPr>
          <w:rFonts w:hint="eastAsia" w:ascii="仿宋_GB2312" w:eastAsia="仿宋_GB2312"/>
          <w:sz w:val="32"/>
          <w:szCs w:val="32"/>
        </w:rPr>
        <w:t>号</w:t>
      </w:r>
    </w:p>
    <w:p>
      <w:pPr>
        <w:spacing w:line="600" w:lineRule="exact"/>
        <w:ind w:firstLine="883" w:firstLineChars="200"/>
        <w:jc w:val="center"/>
        <w:rPr>
          <w:b/>
          <w:sz w:val="44"/>
          <w:szCs w:val="44"/>
        </w:rPr>
      </w:pPr>
    </w:p>
    <w:p>
      <w:pPr>
        <w:spacing w:line="600" w:lineRule="exact"/>
        <w:ind w:firstLine="883" w:firstLineChars="200"/>
        <w:jc w:val="center"/>
        <w:rPr>
          <w:b/>
          <w:sz w:val="44"/>
          <w:szCs w:val="44"/>
        </w:rPr>
      </w:pPr>
    </w:p>
    <w:p>
      <w:pPr>
        <w:tabs>
          <w:tab w:val="left" w:pos="3855"/>
        </w:tabs>
        <w:overflowPunct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南阳市卫生健康委关于开展2019年全市</w:t>
      </w:r>
    </w:p>
    <w:p>
      <w:pPr>
        <w:tabs>
          <w:tab w:val="left" w:pos="3855"/>
        </w:tabs>
        <w:overflowPunct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卫生监督“双百行动”的通知</w:t>
      </w:r>
    </w:p>
    <w:p>
      <w:pPr>
        <w:tabs>
          <w:tab w:val="left" w:pos="3855"/>
        </w:tabs>
        <w:overflowPunct w:val="0"/>
        <w:spacing w:line="600" w:lineRule="exact"/>
        <w:jc w:val="center"/>
        <w:rPr>
          <w:rFonts w:ascii="宋体" w:hAnsi="宋体" w:cs="宋体"/>
          <w:b/>
          <w:bCs/>
          <w:sz w:val="44"/>
          <w:szCs w:val="44"/>
        </w:rPr>
      </w:pPr>
    </w:p>
    <w:p>
      <w:pPr>
        <w:spacing w:line="6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各县区卫生健康委（社会事业局、卫管中心），市监督局：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深入贯彻落实《国务院办公厅关于改革完善医疗卫生行业综合监管制度的意见》（国办发〔2018〕63号）和《河南省卫生健康委关于展开2019年全省卫生监督“双百行动”的通知》（豫卫监督〔2019〕13号）文件精神，持续强化卫生监督执法，推进医疗卫生机构依法执业，净化全市医疗服务市场，维护人民群众健康安全，根据省卫健委文件要求，在全市开展卫生监督“双百行动”（卫监——百日行动、亮剑——百日行动）。现将有关要求通知如下：</w:t>
      </w:r>
    </w:p>
    <w:p>
      <w:pPr>
        <w:spacing w:line="600" w:lineRule="exact"/>
        <w:ind w:firstLine="640" w:firstLineChars="200"/>
        <w:rPr>
          <w:rFonts w:ascii="黑体" w:eastAsia="黑体"/>
          <w:sz w:val="32"/>
          <w:szCs w:val="32"/>
        </w:rPr>
      </w:pPr>
      <w:r>
        <w:rPr>
          <w:rFonts w:hint="eastAsia" w:ascii="黑体" w:eastAsia="黑体"/>
          <w:sz w:val="32"/>
          <w:szCs w:val="32"/>
        </w:rPr>
        <w:t>一、工作目标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坚持问题导向和目标导向，围绕社会关注热点和群众投诉举报集中问题，在全市开展以医疗卫生机构依法执业监督检查为重点的“卫监——百日行动”和以打击无证行医净化医疗市场为重点的“亮剑——百日行动”，推进各级卫生健康行政部门依法行政、依法监督，督促各级医疗卫生机构增强法治意识、坚持依法执业，保持打击无证行医高压态势，持续净化医疗服务市场，维护人民群众健康安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二、检查对象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全市各县区医疗机构、疾病预防控制机构、采供血机构；各县区卫生健康行政部门、卫生监督机构。</w:t>
      </w:r>
    </w:p>
    <w:p>
      <w:pPr>
        <w:spacing w:line="600" w:lineRule="exact"/>
        <w:ind w:firstLine="640" w:firstLineChars="200"/>
        <w:rPr>
          <w:rFonts w:ascii="黑体" w:eastAsia="黑体"/>
          <w:sz w:val="32"/>
          <w:szCs w:val="32"/>
        </w:rPr>
      </w:pPr>
      <w:r>
        <w:rPr>
          <w:rFonts w:hint="eastAsia" w:ascii="黑体" w:eastAsia="黑体"/>
          <w:sz w:val="32"/>
          <w:szCs w:val="32"/>
        </w:rPr>
        <w:t>三、主要任务</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Cs/>
          <w:sz w:val="32"/>
          <w:szCs w:val="32"/>
        </w:rPr>
        <w:t>（一）卫监——百日行动。</w:t>
      </w:r>
      <w:r>
        <w:rPr>
          <w:rFonts w:hint="eastAsia" w:ascii="仿宋_GB2312" w:eastAsia="仿宋_GB2312"/>
          <w:sz w:val="32"/>
          <w:szCs w:val="32"/>
        </w:rPr>
        <w:t>针对各级各类医疗卫生机构，以预防接种、医疗废物管理、医疗美容、病历管理、健康体检、产前筛查、产前诊断、放射卫生为重点（附件1），进行依法执业监督检查。</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bCs/>
          <w:sz w:val="32"/>
          <w:szCs w:val="32"/>
        </w:rPr>
        <w:t>（二）亮剑——百日行动。</w:t>
      </w:r>
      <w:r>
        <w:rPr>
          <w:rFonts w:hint="eastAsia" w:ascii="仿宋_GB2312" w:eastAsia="仿宋_GB2312"/>
          <w:sz w:val="32"/>
          <w:szCs w:val="32"/>
        </w:rPr>
        <w:t>针对全市医疗服务市场存在的无证行医问题，对屡禁不止、屡打不绝的“黑诊所”，以及对“黑诊所”视而不见、打击不力甚至为“黑诊所”充当保护伞的卫生健康行政部门和卫生监督机构，进行重点打击和严厉查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四、实施步骤</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（一）自查整改阶段（5月20日—6月15日）。</w:t>
      </w:r>
      <w:r>
        <w:rPr>
          <w:rFonts w:hint="eastAsia" w:ascii="仿宋_GB2312" w:eastAsia="仿宋_GB2312"/>
          <w:sz w:val="32"/>
          <w:szCs w:val="32"/>
        </w:rPr>
        <w:t>各医疗卫生机构要围绕此次行动内容和检查表，按照法律、法规、规章等要求，逐条逐项开展依法执业自查；对自查发现的问题，要建立台账，逐项整改。各县区卫生健康行政部门、市监督局要对辖区医疗市场进行深入排查，对发现的“黑诊所”要逐个登记、建立台账，立案查处、逐个销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各县区各单位要结合“双随机一公开”抽查工作，对辖区医疗卫生机构进行全覆盖检查。</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（二）市级督察阶段（6月16日——7月25日）。</w:t>
      </w:r>
      <w:r>
        <w:rPr>
          <w:rFonts w:hint="eastAsia" w:ascii="仿宋_GB2312" w:eastAsia="仿宋_GB2312"/>
          <w:sz w:val="32"/>
          <w:szCs w:val="32"/>
        </w:rPr>
        <w:t>市卫生健康委、市监督局将抽调精干人员组成督察组，对各县区卫生健康行政部门、医疗卫生机构进行督察，重点督察各地、各单位的自查工作开展情况、建立问题台账及整改销号情况，督促各地、各单位将依法行政、依法执业的各项要求落到实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卫健委和市监督局结合“双随机、一公开”抽查工作，统筹做好医疗卫生机构“双百行动”现场督察，其中二级及以上公立医疗机构督察比例不低于30%，民营医疗机构全部督察；疾病预防控制机构督察比例不低于50%；采供血机构全部督察。</w:t>
      </w:r>
    </w:p>
    <w:p>
      <w:pPr>
        <w:spacing w:line="600" w:lineRule="exact"/>
        <w:ind w:firstLine="640" w:firstLineChars="200"/>
        <w:rPr>
          <w:rFonts w:ascii="黑体" w:eastAsia="黑体"/>
          <w:sz w:val="32"/>
          <w:szCs w:val="32"/>
        </w:rPr>
      </w:pPr>
      <w:r>
        <w:rPr>
          <w:rFonts w:hint="eastAsia" w:ascii="黑体" w:eastAsia="黑体"/>
          <w:sz w:val="32"/>
          <w:szCs w:val="32"/>
        </w:rPr>
        <w:t>五、工作要求</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（一）加强组织领导，精心安排部署。</w:t>
      </w:r>
      <w:r>
        <w:rPr>
          <w:rFonts w:hint="eastAsia" w:ascii="仿宋_GB2312" w:eastAsia="仿宋_GB2312"/>
          <w:sz w:val="32"/>
          <w:szCs w:val="32"/>
        </w:rPr>
        <w:t>各级卫生健康行政部门要从维护广大人民群众健康的高度出发，提高思想认识，加强组织领导；要通过举行启动仪式、召开动员大会等形式，对“双百行动”进行专题部署，形成强大的声势和社会影响。各县区卫生健康委要强化督促指导，对重大、典型违法案件，要挂牌督办。</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（二）严格落实责任，务求工作实效。</w:t>
      </w:r>
      <w:r>
        <w:rPr>
          <w:rFonts w:hint="eastAsia" w:ascii="仿宋_GB2312" w:eastAsia="仿宋_GB2312"/>
          <w:sz w:val="32"/>
          <w:szCs w:val="32"/>
        </w:rPr>
        <w:t>各级各类医疗卫生机构要切实落实依法执业主体责任，对照法律、法规、规章等相关要求，认真开展依法执业自查和整改。县区卫生健康行政部门及卫生监督机构要认真落实监管责任，严格规范公正文明执法，严厉查处违法违规执业行为；对无证行医涉嫌犯罪案卷，要及时移送公安机关，同时抄送当地检察机关。</w:t>
      </w:r>
    </w:p>
    <w:p>
      <w:pPr>
        <w:overflowPunct w:val="0"/>
        <w:spacing w:line="600" w:lineRule="exact"/>
        <w:ind w:firstLine="640" w:firstLineChars="200"/>
        <w:rPr>
          <w:rFonts w:ascii="仿宋_GB2312" w:eastAsia="仿宋_GB2312"/>
          <w:sz w:val="32"/>
          <w:szCs w:val="32"/>
        </w:rPr>
      </w:pPr>
      <w:r>
        <w:rPr>
          <w:rFonts w:hint="eastAsia" w:ascii="楷体_GB2312" w:eastAsia="楷体_GB2312"/>
          <w:sz w:val="32"/>
          <w:szCs w:val="32"/>
        </w:rPr>
        <w:t>（三）强化社会监督，广泛开展宣传。</w:t>
      </w:r>
      <w:r>
        <w:rPr>
          <w:rFonts w:hint="eastAsia" w:ascii="仿宋_GB2312" w:eastAsia="仿宋_GB2312"/>
          <w:sz w:val="32"/>
          <w:szCs w:val="32"/>
        </w:rPr>
        <w:t>各地要畅通投诉举报渠道，主动公开投诉举报电话，鼓励群众提供违法违规案件线索。要与新闻媒体加强沟通，通过电视、报纸、政务网站、微信公众号等新闻媒体和载体，积极宣传“双百行动”取得的成效；对查处的重大、典型案件要进行公示曝光，发挥有力的震慑作用。要密切关注舆情变化，及时分析研判，回应社会关切，增强人民群众的安全感、获得感。</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请各县区卫生健康委于2019年7月19日前，将“双百行动”工作总结和汇总表（附件2、附件3）一并报市卫生健康委综合监督科（纸质版加盖公章，电子版发至邮箱）。</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联系人：程圆圆  0377—63132290</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邮  箱：ny3132290@126.com</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附件：1.2019年全市卫生监督“双百行动”检查表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2.2019年全市“卫监——百日行动”汇总表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3.2019年全市“亮剑——百日行动”汇总表</w:t>
      </w: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2019年5月20日</w:t>
      </w:r>
    </w:p>
    <w:p>
      <w:pPr>
        <w:widowControl/>
        <w:spacing w:line="600" w:lineRule="exact"/>
        <w:jc w:val="left"/>
        <w:rPr>
          <w:rFonts w:ascii="黑体" w:eastAsia="黑体"/>
          <w:sz w:val="32"/>
          <w:szCs w:val="32"/>
        </w:rPr>
        <w:sectPr>
          <w:footerReference r:id="rId3" w:type="default"/>
          <w:footerReference r:id="rId4" w:type="even"/>
          <w:pgSz w:w="11906" w:h="16838"/>
          <w:pgMar w:top="1814" w:right="1531" w:bottom="1701" w:left="1531" w:header="851" w:footer="1191" w:gutter="0"/>
          <w:cols w:space="0" w:num="1"/>
          <w:docGrid w:type="lines" w:linePitch="312" w:charSpace="0"/>
        </w:sectPr>
      </w:pPr>
      <w:bookmarkStart w:id="0" w:name="红头"/>
    </w:p>
    <w:p>
      <w:pPr>
        <w:widowControl/>
        <w:spacing w:line="500" w:lineRule="exact"/>
        <w:jc w:val="left"/>
        <w:rPr>
          <w:rFonts w:ascii="黑体" w:eastAsia="黑体"/>
          <w:sz w:val="32"/>
          <w:szCs w:val="32"/>
        </w:rPr>
      </w:pPr>
      <w:r>
        <w:rPr>
          <w:rFonts w:hint="eastAsia" w:ascii="黑体" w:eastAsia="黑体"/>
          <w:sz w:val="32"/>
          <w:szCs w:val="32"/>
        </w:rPr>
        <w:t>附件1</w:t>
      </w:r>
    </w:p>
    <w:p>
      <w:pPr>
        <w:snapToGrid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2019年全市卫生监督“双百行动”检查表</w:t>
      </w:r>
    </w:p>
    <w:p>
      <w:pPr>
        <w:snapToGrid w:val="0"/>
        <w:spacing w:line="500" w:lineRule="exact"/>
        <w:jc w:val="center"/>
        <w:rPr>
          <w:rFonts w:ascii="黑体" w:hAnsi="黑体" w:eastAsia="黑体"/>
          <w:sz w:val="44"/>
          <w:szCs w:val="44"/>
        </w:rPr>
      </w:pPr>
    </w:p>
    <w:p>
      <w:pPr>
        <w:jc w:val="left"/>
        <w:rPr>
          <w:rFonts w:hint="default" w:asciiTheme="minorEastAsia" w:hAnsiTheme="minorEastAsia" w:eastAsiaTheme="minorEastAsia"/>
          <w:b/>
          <w:sz w:val="24"/>
          <w:szCs w:val="24"/>
          <w:u w:val="single"/>
          <w:lang w:val="en-US" w:eastAsia="zh-CN"/>
        </w:rPr>
      </w:pPr>
      <w:r>
        <w:rPr>
          <w:rFonts w:hint="eastAsia" w:cs="Courier New" w:asciiTheme="minorEastAsia" w:hAnsiTheme="minorEastAsia" w:eastAsiaTheme="minorEastAsia"/>
          <w:b/>
          <w:color w:val="333333"/>
          <w:kern w:val="0"/>
          <w:sz w:val="24"/>
          <w:szCs w:val="24"/>
        </w:rPr>
        <w:t>机构名称：</w:t>
      </w:r>
      <w:r>
        <w:rPr>
          <w:rFonts w:hint="eastAsia" w:cs="Courier New" w:asciiTheme="minorEastAsia" w:hAnsiTheme="minorEastAsia" w:eastAsiaTheme="minorEastAsia"/>
          <w:b/>
          <w:color w:val="333333"/>
          <w:kern w:val="0"/>
          <w:sz w:val="24"/>
          <w:szCs w:val="24"/>
          <w:u w:val="single"/>
        </w:rPr>
        <w:t xml:space="preserve">                              </w:t>
      </w:r>
      <w:r>
        <w:rPr>
          <w:rFonts w:hint="eastAsia" w:cs="Courier New" w:asciiTheme="minorEastAsia" w:hAnsiTheme="minorEastAsia" w:eastAsiaTheme="minorEastAsia"/>
          <w:b/>
          <w:color w:val="333333"/>
          <w:kern w:val="0"/>
          <w:sz w:val="24"/>
          <w:szCs w:val="24"/>
          <w:u w:val="none"/>
          <w:lang w:val="en-US" w:eastAsia="zh-CN"/>
        </w:rPr>
        <w:t xml:space="preserve">                          </w:t>
      </w:r>
      <w:r>
        <w:rPr>
          <w:rFonts w:hint="eastAsia" w:cs="Courier New" w:asciiTheme="minorEastAsia" w:hAnsiTheme="minorEastAsia" w:eastAsiaTheme="minorEastAsia"/>
          <w:b/>
          <w:color w:val="333333"/>
          <w:kern w:val="0"/>
          <w:sz w:val="24"/>
          <w:szCs w:val="24"/>
        </w:rPr>
        <w:t>实得分：</w:t>
      </w:r>
      <w:r>
        <w:rPr>
          <w:rFonts w:hint="eastAsia" w:cs="Courier New" w:asciiTheme="minorEastAsia" w:hAnsiTheme="minorEastAsia" w:eastAsiaTheme="minorEastAsia"/>
          <w:b/>
          <w:color w:val="333333"/>
          <w:kern w:val="0"/>
          <w:sz w:val="24"/>
          <w:szCs w:val="24"/>
          <w:u w:val="single"/>
        </w:rPr>
        <w:t xml:space="preserve">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      </w:t>
      </w:r>
      <w:r>
        <w:rPr>
          <w:rFonts w:hint="eastAsia" w:asciiTheme="minorEastAsia" w:hAnsiTheme="minorEastAsia" w:eastAsiaTheme="minorEastAsia"/>
          <w:b/>
          <w:sz w:val="24"/>
          <w:szCs w:val="24"/>
          <w:lang w:val="en-US" w:eastAsia="zh-CN"/>
        </w:rPr>
        <w:t xml:space="preserve">   </w:t>
      </w:r>
      <w:r>
        <w:rPr>
          <w:rFonts w:hint="eastAsia" w:asciiTheme="minorEastAsia" w:hAnsiTheme="minorEastAsia" w:eastAsiaTheme="minorEastAsia"/>
          <w:b/>
          <w:sz w:val="24"/>
          <w:szCs w:val="24"/>
        </w:rPr>
        <w:t>标化得分：</w:t>
      </w:r>
      <w:r>
        <w:rPr>
          <w:rFonts w:hint="eastAsia" w:asciiTheme="minorEastAsia" w:hAnsiTheme="minorEastAsia" w:eastAsiaTheme="minorEastAsia"/>
          <w:b/>
          <w:sz w:val="24"/>
          <w:szCs w:val="24"/>
          <w:u w:val="single"/>
          <w:lang w:val="en-US" w:eastAsia="zh-CN"/>
        </w:rPr>
        <w:t xml:space="preserve">              </w:t>
      </w:r>
    </w:p>
    <w:tbl>
      <w:tblPr>
        <w:tblStyle w:val="5"/>
        <w:tblW w:w="15310"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24"/>
        <w:gridCol w:w="567"/>
        <w:gridCol w:w="62"/>
        <w:gridCol w:w="2487"/>
        <w:gridCol w:w="4846"/>
        <w:gridCol w:w="117"/>
        <w:gridCol w:w="392"/>
        <w:gridCol w:w="3178"/>
        <w:gridCol w:w="115"/>
        <w:gridCol w:w="594"/>
        <w:gridCol w:w="43"/>
        <w:gridCol w:w="72"/>
        <w:gridCol w:w="600"/>
        <w:gridCol w:w="109"/>
        <w:gridCol w:w="70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310" w:type="dxa"/>
            <w:gridSpan w:val="17"/>
            <w:tcBorders>
              <w:tl2br w:val="nil"/>
              <w:tr2bl w:val="nil"/>
            </w:tcBorders>
            <w:vAlign w:val="center"/>
          </w:tcPr>
          <w:p>
            <w:pPr>
              <w:rPr>
                <w:rFonts w:ascii="黑体" w:hAnsi="黑体" w:eastAsia="黑体"/>
                <w:sz w:val="28"/>
                <w:szCs w:val="28"/>
                <w:highlight w:val="yellow"/>
              </w:rPr>
            </w:pPr>
            <w:r>
              <w:rPr>
                <w:rFonts w:hint="eastAsia" w:ascii="黑体" w:hAnsi="黑体" w:eastAsia="黑体"/>
                <w:sz w:val="28"/>
                <w:szCs w:val="28"/>
                <w:highlight w:val="yellow"/>
              </w:rPr>
              <w:t>一、预防接种</w:t>
            </w:r>
            <w:r>
              <w:rPr>
                <w:rFonts w:hint="eastAsia" w:ascii="黑体" w:hAnsi="黑体" w:eastAsia="黑体"/>
                <w:sz w:val="28"/>
                <w:szCs w:val="28"/>
              </w:rPr>
              <w:t>（☆无县级卫生健康行政部门指定的证明文件，该项整体不得分） 共130分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984"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7512" w:type="dxa"/>
            <w:gridSpan w:val="4"/>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检查内容和方法</w:t>
            </w:r>
          </w:p>
        </w:tc>
        <w:tc>
          <w:tcPr>
            <w:tcW w:w="368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09" w:type="dxa"/>
            <w:gridSpan w:val="2"/>
            <w:tcBorders>
              <w:tl2br w:val="nil"/>
              <w:tr2bl w:val="nil"/>
            </w:tcBorders>
            <w:vAlign w:val="center"/>
          </w:tcPr>
          <w:p>
            <w:pPr>
              <w:spacing w:line="240" w:lineRule="exact"/>
              <w:rPr>
                <w:rFonts w:ascii="Times New Roman" w:hAnsi="Times New Roman" w:cs="宋体"/>
                <w:b/>
                <w:bCs/>
              </w:rPr>
            </w:pPr>
            <w:r>
              <w:rPr>
                <w:rFonts w:hint="eastAsia" w:ascii="Times New Roman" w:hAnsi="Times New Roman" w:cs="宋体"/>
                <w:b/>
                <w:bCs/>
              </w:rPr>
              <w:t>扣分</w:t>
            </w:r>
          </w:p>
        </w:tc>
        <w:tc>
          <w:tcPr>
            <w:tcW w:w="711" w:type="dxa"/>
            <w:gridSpan w:val="2"/>
            <w:tcBorders>
              <w:tl2br w:val="nil"/>
              <w:tr2bl w:val="nil"/>
            </w:tcBorders>
            <w:vAlign w:val="center"/>
          </w:tcPr>
          <w:p>
            <w:pPr>
              <w:spacing w:line="240" w:lineRule="exact"/>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84" w:type="dxa"/>
            <w:gridSpan w:val="3"/>
            <w:tcBorders>
              <w:tl2br w:val="nil"/>
              <w:tr2bl w:val="nil"/>
            </w:tcBorders>
            <w:vAlign w:val="center"/>
          </w:tcPr>
          <w:p>
            <w:pPr>
              <w:rPr>
                <w:rFonts w:asciiTheme="minorEastAsia" w:hAnsiTheme="minorEastAsia" w:eastAsiaTheme="minorEastAsia"/>
                <w:color w:val="FF0000"/>
                <w:szCs w:val="21"/>
              </w:rPr>
            </w:pPr>
            <w:r>
              <w:rPr>
                <w:rFonts w:hint="eastAsia" w:asciiTheme="minorEastAsia" w:hAnsiTheme="minorEastAsia" w:eastAsiaTheme="minorEastAsia"/>
                <w:szCs w:val="21"/>
              </w:rPr>
              <w:t>1.接种单位及人员资质证明</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查看该单位经过县级卫生健康行政部门指定的证明文件。重点查看证明文件有效性。检查科室重点为预防接种管理部门、产科。工作人员经预防接种专业培训和考核合格。</w:t>
            </w:r>
          </w:p>
        </w:tc>
        <w:tc>
          <w:tcPr>
            <w:tcW w:w="3685" w:type="dxa"/>
            <w:gridSpan w:val="3"/>
            <w:tcBorders>
              <w:tl2br w:val="nil"/>
              <w:tr2bl w:val="nil"/>
            </w:tcBorders>
            <w:vAlign w:val="center"/>
          </w:tcPr>
          <w:p>
            <w:pPr>
              <w:widowControl/>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发现1人不符合要求扣5分。</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709"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2.在接种场所的显著位置公示第一类、第二类疫苗的信息</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实地查看，是否在接种场所的显著位置公示第一类、第二类疫苗的品种和接种方法等，核实疫苗的品种和接种方法与实际是否一致。重点查看公示的第一类、第二类疫苗品种是否齐全，接种方法是否符合规范，</w:t>
            </w:r>
            <w:r>
              <w:rPr>
                <w:rFonts w:hint="eastAsia" w:asciiTheme="minorEastAsia" w:hAnsiTheme="minorEastAsia" w:eastAsiaTheme="minorEastAsia"/>
                <w:bCs/>
                <w:szCs w:val="21"/>
              </w:rPr>
              <w:t>第二类疫苗是否公示疫苗价格、预防接种服务价格。</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是20；少一项扣5分；否0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709"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3.接种前告知、询问受种者或者其监护人有关情况</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现场查阅告知、询问记录，核实工作人员在实施接种前，是否按规定告知受种者或者其监护人并如实记录告知和询问情况。</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kern w:val="0"/>
                <w:szCs w:val="21"/>
              </w:rPr>
              <w:t>是10；不齐全扣5分；否0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kern w:val="0"/>
                <w:szCs w:val="21"/>
              </w:rPr>
              <w:t>10</w:t>
            </w:r>
          </w:p>
        </w:tc>
        <w:tc>
          <w:tcPr>
            <w:tcW w:w="709"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4.医疗卫生人员依照规定填写并保存接种记录</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现场查阅接种记录，查看接种记录填写内容是否齐全，并保存5年以上。</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color w:val="FF0000"/>
                <w:kern w:val="0"/>
                <w:szCs w:val="21"/>
              </w:rPr>
            </w:pPr>
            <w:r>
              <w:rPr>
                <w:rFonts w:hint="eastAsia" w:cs="宋体" w:asciiTheme="minorEastAsia" w:hAnsiTheme="minorEastAsia" w:eastAsiaTheme="minorEastAsia"/>
                <w:kern w:val="0"/>
                <w:szCs w:val="21"/>
              </w:rPr>
              <w:t>是20；不齐全扣5分；否0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color w:val="FF0000"/>
                <w:kern w:val="0"/>
                <w:szCs w:val="21"/>
              </w:rPr>
            </w:pPr>
            <w:r>
              <w:rPr>
                <w:rFonts w:hint="eastAsia" w:cs="宋体" w:asciiTheme="minorEastAsia" w:hAnsiTheme="minorEastAsia" w:eastAsiaTheme="minorEastAsia"/>
                <w:kern w:val="0"/>
                <w:szCs w:val="21"/>
              </w:rPr>
              <w:t>20</w:t>
            </w:r>
          </w:p>
        </w:tc>
        <w:tc>
          <w:tcPr>
            <w:tcW w:w="709"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5.建立并保存真实、完整的疫苗接收、购进、分发和使用登记和报告记录</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看登记记录、报告记录，内容是否完整。核实是否做到票、账、货、款一致。是否索取生物制品每批检验合格或者审核批准证明复印件或进口药品通关单复印件，并加盖企业印章，如是复印件应加盖来源单位公章；材料保存至超过疫苗有效期2年备查。是否从县级疾病预防控制机构以外的单位或者个人购进第二类疫苗；核实是否按规定对接种情况进行登记、报告。</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是20；少一项扣5分；否0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709"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6.购进、接收疫苗时索取疫苗储存、运输的温度监测记录</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 xml:space="preserve">抽查部分批次的疫苗，核对疫苗的储存、运输全过程的温度监测记录。 </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是10；不齐全扣5分；否0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709"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left"/>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7.发现预防接种异常反应或者疑似预防接种异常反应，及时处理和报告</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查阅预防接种异常反应报告卡、处理记录等，核实是否依照规范及时处理，并立即报告卫生计生部门、药品监督管理部门。</w:t>
            </w:r>
          </w:p>
        </w:tc>
        <w:tc>
          <w:tcPr>
            <w:tcW w:w="3685" w:type="dxa"/>
            <w:gridSpan w:val="3"/>
            <w:tcBorders>
              <w:tl2br w:val="nil"/>
              <w:tr2bl w:val="nil"/>
            </w:tcBorders>
            <w:vAlign w:val="center"/>
          </w:tcPr>
          <w:p>
            <w:pPr>
              <w:widowControl/>
              <w:adjustRightInd w:val="0"/>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是10；不规范扣5分；否0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709"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8.依照规定对包装无法识别、超过有效期、脱离冷链、经检验不符合标准、来源不明的疫苗进行登记、报告，依照规定记录销毁情况</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查阅相关的登记、报告和销毁记录。核实接种单位是否如实登记并按规定报告；销毁记录保存时间是否少于5年。</w:t>
            </w:r>
          </w:p>
        </w:tc>
        <w:tc>
          <w:tcPr>
            <w:tcW w:w="3685"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是10；否0</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709"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984" w:type="dxa"/>
            <w:gridSpan w:val="3"/>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9.不得擅自进行群体性预防接种</w:t>
            </w:r>
          </w:p>
        </w:tc>
        <w:tc>
          <w:tcPr>
            <w:tcW w:w="7512" w:type="dxa"/>
            <w:gridSpan w:val="4"/>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查登记记录、相关资料、看现场。结合投诉举报情况对相关人员询问。核实有无开展群体性预防接种。</w:t>
            </w:r>
          </w:p>
        </w:tc>
        <w:tc>
          <w:tcPr>
            <w:tcW w:w="3685" w:type="dxa"/>
            <w:gridSpan w:val="3"/>
            <w:tcBorders>
              <w:tl2br w:val="nil"/>
              <w:tr2bl w:val="nil"/>
            </w:tcBorders>
            <w:vAlign w:val="center"/>
          </w:tcPr>
          <w:p>
            <w:pPr>
              <w:widowControl/>
              <w:adjustRightInd w:val="0"/>
              <w:snapToGri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擅自进行群体性预防接种，整体不得分</w:t>
            </w:r>
          </w:p>
        </w:tc>
        <w:tc>
          <w:tcPr>
            <w:tcW w:w="709" w:type="dxa"/>
            <w:gridSpan w:val="3"/>
            <w:tcBorders>
              <w:tl2br w:val="nil"/>
              <w:tr2bl w:val="nil"/>
            </w:tcBorders>
            <w:vAlign w:val="center"/>
          </w:tcPr>
          <w:p>
            <w:pPr>
              <w:widowControl/>
              <w:adjustRightInd w:val="0"/>
              <w:snapToGri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709"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c>
          <w:tcPr>
            <w:tcW w:w="711" w:type="dxa"/>
            <w:gridSpan w:val="2"/>
            <w:tcBorders>
              <w:tl2br w:val="nil"/>
              <w:tr2bl w:val="nil"/>
            </w:tcBorders>
          </w:tcPr>
          <w:p>
            <w:pPr>
              <w:widowControl/>
              <w:adjustRightInd w:val="0"/>
              <w:snapToGrid w:val="0"/>
              <w:jc w:val="center"/>
              <w:rPr>
                <w:rFonts w:cs="宋体"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310" w:type="dxa"/>
            <w:gridSpan w:val="17"/>
            <w:tcBorders>
              <w:tl2br w:val="nil"/>
              <w:tr2bl w:val="nil"/>
            </w:tcBorders>
            <w:vAlign w:val="center"/>
          </w:tcPr>
          <w:p>
            <w:pPr>
              <w:jc w:val="left"/>
              <w:rPr>
                <w:rFonts w:ascii="黑体" w:hAnsi="黑体" w:eastAsia="黑体"/>
                <w:sz w:val="28"/>
                <w:szCs w:val="24"/>
                <w:highlight w:val="yellow"/>
              </w:rPr>
            </w:pPr>
            <w:r>
              <w:rPr>
                <w:rFonts w:hint="eastAsia" w:ascii="黑体" w:hAnsi="黑体" w:eastAsia="黑体"/>
                <w:sz w:val="28"/>
                <w:szCs w:val="24"/>
                <w:highlight w:val="yellow"/>
              </w:rPr>
              <w:t>二、医疗废物管理</w:t>
            </w:r>
            <w:r>
              <w:rPr>
                <w:rFonts w:hint="eastAsia" w:ascii="黑体" w:hAnsi="黑体" w:eastAsia="黑体"/>
                <w:sz w:val="28"/>
                <w:szCs w:val="24"/>
              </w:rPr>
              <w:t xml:space="preserve">   共130分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417"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8079" w:type="dxa"/>
            <w:gridSpan w:val="5"/>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检查内容及方法</w:t>
            </w:r>
          </w:p>
        </w:tc>
        <w:tc>
          <w:tcPr>
            <w:tcW w:w="368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711"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1.是否建立医疗废物管理组织</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color w:val="000000" w:themeColor="text1"/>
                <w:szCs w:val="21"/>
              </w:rPr>
              <w:t>查看医疗废物管理文件。查看是否是正规的文件或文件汇编；第一责任人是否是法人代表；职能划分是否清晰、可行。是否制定医疗废物发生意外事故时的应急处置预案。</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是10；少一项扣3分；否0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2.医疗废物处置工作培训及职业安全防护</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查阅相关资料，包括培训计划、培训内容、培训考核等。核查是否对相关人员进行培训；是否定期进行健康检查，建立健康档案。现场询问医疗废物工作人员和管理人员医疗废物处置知识，现场查看是否配备必要的防护用品（口罩、帽子、胶靴、橡胶手套、工作服等）。</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是20；少一项扣5分；否0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7"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3.医疗废物分类收集</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现场查看（一）是否按照《医疗废物分类目录》要求，将医疗废物进行分类管理，并按照类别分置于专用的包装物或密闭容器中；（二）是否在医疗废物产生地点标注有医疗废物分类收集方法的示意图或者文字说明；（三）医疗废物盛装封口方式是否规范、紧实、严密。是否在每个包装物、容器上系中文标签。</w:t>
            </w:r>
          </w:p>
          <w:p>
            <w:pPr>
              <w:rPr>
                <w:rFonts w:asciiTheme="minorEastAsia" w:hAnsiTheme="minorEastAsia" w:eastAsiaTheme="minorEastAsia"/>
                <w:szCs w:val="21"/>
              </w:rPr>
            </w:pPr>
            <w:r>
              <w:rPr>
                <w:rFonts w:hint="eastAsia" w:asciiTheme="minorEastAsia" w:hAnsiTheme="minorEastAsia" w:eastAsiaTheme="minorEastAsia"/>
                <w:szCs w:val="21"/>
              </w:rPr>
              <w:t>重点检查1.化学性废弃物的分类收集及登记处理工作；2.医院感染性疾病分诊点等场所由传染病病人或疑似传染病病人产生的医疗废物是否使用双层包装进行收集并密封；3.输液涉及使用细胞毒性药物（如肿瘤化疗药物等）的输液瓶（袋），是否按照药物性医疗废物处理。</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是30；少一项扣5分；否0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4.暂时贮存设施并符合要求（适用于有床位的医疗机构）</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实地查看。</w:t>
            </w:r>
          </w:p>
          <w:p>
            <w:pPr>
              <w:rPr>
                <w:rFonts w:asciiTheme="minorEastAsia" w:hAnsiTheme="minorEastAsia" w:eastAsiaTheme="minorEastAsia"/>
                <w:szCs w:val="21"/>
              </w:rPr>
            </w:pPr>
            <w:r>
              <w:rPr>
                <w:rFonts w:hint="eastAsia" w:asciiTheme="minorEastAsia" w:hAnsiTheme="minorEastAsia" w:eastAsiaTheme="minorEastAsia"/>
                <w:szCs w:val="21"/>
              </w:rPr>
              <w:t>（一）医疗机构有无建立医疗废物暂时贮存设施、设备；</w:t>
            </w:r>
          </w:p>
          <w:p>
            <w:pPr>
              <w:rPr>
                <w:rFonts w:asciiTheme="minorEastAsia" w:hAnsiTheme="minorEastAsia" w:eastAsiaTheme="minorEastAsia"/>
                <w:szCs w:val="21"/>
              </w:rPr>
            </w:pPr>
            <w:r>
              <w:rPr>
                <w:rFonts w:hint="eastAsia" w:asciiTheme="minorEastAsia" w:hAnsiTheme="minorEastAsia" w:eastAsiaTheme="minorEastAsia"/>
                <w:szCs w:val="21"/>
              </w:rPr>
              <w:t>（二）暂时贮存设施、设备是否符合医疗废物法规规章规定的要求；</w:t>
            </w:r>
          </w:p>
          <w:p>
            <w:pPr>
              <w:rPr>
                <w:rFonts w:asciiTheme="minorEastAsia" w:hAnsiTheme="minorEastAsia" w:eastAsiaTheme="minorEastAsia"/>
                <w:szCs w:val="21"/>
              </w:rPr>
            </w:pPr>
            <w:r>
              <w:rPr>
                <w:rFonts w:hint="eastAsia" w:asciiTheme="minorEastAsia" w:hAnsiTheme="minorEastAsia" w:eastAsiaTheme="minorEastAsia"/>
                <w:szCs w:val="21"/>
              </w:rPr>
              <w:t>（三）暂时贮存设施、设备是否定期消毒和清洁。</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是20；少一项扣5分；否0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5.医疗废物处置</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实地查看，查阅资料。</w:t>
            </w:r>
          </w:p>
          <w:p>
            <w:pPr>
              <w:rPr>
                <w:rFonts w:asciiTheme="minorEastAsia" w:hAnsiTheme="minorEastAsia" w:eastAsiaTheme="minorEastAsia"/>
                <w:szCs w:val="21"/>
              </w:rPr>
            </w:pPr>
            <w:r>
              <w:rPr>
                <w:rFonts w:hint="eastAsia" w:asciiTheme="minorEastAsia" w:hAnsiTheme="minorEastAsia" w:eastAsiaTheme="minorEastAsia"/>
                <w:szCs w:val="21"/>
              </w:rPr>
              <w:t>（一）是否将医疗废物交由有资质的医疗废物集中处置机构处置（医疗废物集中处置合同或协议、医疗废物转移联单等）；医疗废物转移联单保存至少3年。</w:t>
            </w:r>
          </w:p>
          <w:p>
            <w:pPr>
              <w:rPr>
                <w:rFonts w:asciiTheme="minorEastAsia" w:hAnsiTheme="minorEastAsia" w:eastAsiaTheme="minorEastAsia"/>
                <w:szCs w:val="21"/>
              </w:rPr>
            </w:pPr>
            <w:r>
              <w:rPr>
                <w:rFonts w:hint="eastAsia" w:asciiTheme="minorEastAsia" w:hAnsiTheme="minorEastAsia" w:eastAsiaTheme="minorEastAsia"/>
                <w:szCs w:val="21"/>
              </w:rPr>
              <w:t>（二）医疗废物暂存时间是否超过2天。</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是20；少一项扣5分；否0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6.自建医疗废物处置设施并及时焚烧处置（适用于未集中处置的农村医疗机构）</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实地查看， 查阅资料。</w:t>
            </w:r>
          </w:p>
          <w:p>
            <w:pPr>
              <w:rPr>
                <w:rFonts w:asciiTheme="minorEastAsia" w:hAnsiTheme="minorEastAsia" w:eastAsiaTheme="minorEastAsia"/>
                <w:szCs w:val="21"/>
              </w:rPr>
            </w:pPr>
            <w:r>
              <w:rPr>
                <w:rFonts w:hint="eastAsia" w:asciiTheme="minorEastAsia" w:hAnsiTheme="minorEastAsia" w:eastAsiaTheme="minorEastAsia"/>
                <w:szCs w:val="21"/>
              </w:rPr>
              <w:t>（一）不具备集中处置医疗废物条件农村地区，检查自建医疗废物处置设施；</w:t>
            </w:r>
          </w:p>
          <w:p>
            <w:pPr>
              <w:rPr>
                <w:rFonts w:asciiTheme="minorEastAsia" w:hAnsiTheme="minorEastAsia" w:eastAsiaTheme="minorEastAsia"/>
                <w:szCs w:val="21"/>
              </w:rPr>
            </w:pPr>
            <w:r>
              <w:rPr>
                <w:rFonts w:hint="eastAsia" w:asciiTheme="minorEastAsia" w:hAnsiTheme="minorEastAsia" w:eastAsiaTheme="minorEastAsia"/>
                <w:szCs w:val="21"/>
              </w:rPr>
              <w:t>（二）使用后的一次性医疗器具和损伤性医疗废物是否消毒并毁形；</w:t>
            </w:r>
          </w:p>
          <w:p>
            <w:pPr>
              <w:rPr>
                <w:rFonts w:asciiTheme="minorEastAsia" w:hAnsiTheme="minorEastAsia" w:eastAsiaTheme="minorEastAsia"/>
                <w:szCs w:val="21"/>
              </w:rPr>
            </w:pPr>
            <w:r>
              <w:rPr>
                <w:rFonts w:hint="eastAsia" w:asciiTheme="minorEastAsia" w:hAnsiTheme="minorEastAsia" w:eastAsiaTheme="minorEastAsia"/>
                <w:szCs w:val="21"/>
              </w:rPr>
              <w:t>（三）及时焚烧处置和记录情况；</w:t>
            </w:r>
          </w:p>
          <w:p>
            <w:pPr>
              <w:rPr>
                <w:rFonts w:asciiTheme="minorEastAsia" w:hAnsiTheme="minorEastAsia" w:eastAsiaTheme="minorEastAsia"/>
                <w:szCs w:val="21"/>
              </w:rPr>
            </w:pPr>
            <w:r>
              <w:rPr>
                <w:rFonts w:hint="eastAsia" w:asciiTheme="minorEastAsia" w:hAnsiTheme="minorEastAsia" w:eastAsiaTheme="minorEastAsia"/>
                <w:szCs w:val="21"/>
              </w:rPr>
              <w:t>（四）不能焚烧的，是否及时消毒填埋。</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是10；少一项扣3分；否0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7.污水处理</w:t>
            </w:r>
          </w:p>
        </w:tc>
        <w:tc>
          <w:tcPr>
            <w:tcW w:w="8079" w:type="dxa"/>
            <w:gridSpan w:val="5"/>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医院污水经消毒处理并开展监测，重点检查粪大肠菌群及肠道致病菌监测是否符合规定。</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是10；否0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1417" w:type="dxa"/>
            <w:gridSpan w:val="2"/>
            <w:tcBorders>
              <w:tl2br w:val="nil"/>
              <w:tr2bl w:val="nil"/>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未污染的输液瓶的管理</w:t>
            </w:r>
          </w:p>
        </w:tc>
        <w:tc>
          <w:tcPr>
            <w:tcW w:w="8079" w:type="dxa"/>
            <w:gridSpan w:val="5"/>
            <w:tcBorders>
              <w:tl2br w:val="nil"/>
              <w:tr2bl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查阅资料</w:t>
            </w:r>
            <w:r>
              <w:rPr>
                <w:rFonts w:hint="eastAsia" w:asciiTheme="minorEastAsia" w:hAnsiTheme="minorEastAsia" w:eastAsiaTheme="minorEastAsia"/>
                <w:szCs w:val="21"/>
              </w:rPr>
              <w:t>，</w:t>
            </w:r>
            <w:r>
              <w:rPr>
                <w:rFonts w:asciiTheme="minorEastAsia" w:hAnsiTheme="minorEastAsia" w:eastAsiaTheme="minorEastAsia"/>
                <w:szCs w:val="21"/>
              </w:rPr>
              <w:t>实地检查</w:t>
            </w:r>
            <w:r>
              <w:rPr>
                <w:rFonts w:hint="eastAsia" w:asciiTheme="minorEastAsia" w:hAnsiTheme="minorEastAsia" w:eastAsiaTheme="minorEastAsia"/>
                <w:szCs w:val="21"/>
              </w:rPr>
              <w:t>。</w:t>
            </w:r>
            <w:r>
              <w:rPr>
                <w:rFonts w:asciiTheme="minorEastAsia" w:hAnsiTheme="minorEastAsia" w:eastAsiaTheme="minorEastAsia"/>
                <w:szCs w:val="21"/>
              </w:rPr>
              <w:t>重点检查医疗卫生机构是否集中处置</w:t>
            </w:r>
            <w:r>
              <w:rPr>
                <w:rFonts w:hint="eastAsia" w:asciiTheme="minorEastAsia" w:hAnsiTheme="minorEastAsia" w:eastAsiaTheme="minorEastAsia"/>
                <w:szCs w:val="21"/>
              </w:rPr>
              <w:t>，</w:t>
            </w:r>
            <w:r>
              <w:rPr>
                <w:rFonts w:asciiTheme="minorEastAsia" w:hAnsiTheme="minorEastAsia" w:eastAsiaTheme="minorEastAsia"/>
                <w:szCs w:val="21"/>
              </w:rPr>
              <w:t>是否和有回收资质的单位签订回收协议</w:t>
            </w:r>
            <w:r>
              <w:rPr>
                <w:rFonts w:hint="eastAsia" w:asciiTheme="minorEastAsia" w:hAnsiTheme="minorEastAsia" w:eastAsiaTheme="minorEastAsia"/>
                <w:szCs w:val="21"/>
              </w:rPr>
              <w:t>，</w:t>
            </w:r>
            <w:r>
              <w:rPr>
                <w:rFonts w:asciiTheme="minorEastAsia" w:hAnsiTheme="minorEastAsia" w:eastAsiaTheme="minorEastAsia"/>
                <w:szCs w:val="21"/>
              </w:rPr>
              <w:t>回收单位资质是否符合要求</w:t>
            </w:r>
            <w:r>
              <w:rPr>
                <w:rFonts w:hint="eastAsia" w:asciiTheme="minorEastAsia" w:hAnsiTheme="minorEastAsia" w:eastAsiaTheme="minorEastAsia"/>
                <w:szCs w:val="21"/>
              </w:rPr>
              <w:t>。单位是否有专门的贮存场所，回收记录是否登记完整并规范保存。</w:t>
            </w:r>
          </w:p>
        </w:tc>
        <w:tc>
          <w:tcPr>
            <w:tcW w:w="3685"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是10；否0</w:t>
            </w:r>
          </w:p>
        </w:tc>
        <w:tc>
          <w:tcPr>
            <w:tcW w:w="709" w:type="dxa"/>
            <w:gridSpan w:val="3"/>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709" w:type="dxa"/>
            <w:gridSpan w:val="2"/>
            <w:tcBorders>
              <w:tl2br w:val="nil"/>
              <w:tr2bl w:val="nil"/>
            </w:tcBorders>
            <w:vAlign w:val="center"/>
          </w:tcPr>
          <w:p>
            <w:pPr>
              <w:jc w:val="center"/>
              <w:rPr>
                <w:rFonts w:asciiTheme="minorEastAsia" w:hAnsiTheme="minorEastAsia" w:eastAsiaTheme="minorEastAsia"/>
                <w:szCs w:val="21"/>
              </w:rPr>
            </w:pPr>
          </w:p>
        </w:tc>
        <w:tc>
          <w:tcPr>
            <w:tcW w:w="711" w:type="dxa"/>
            <w:gridSpan w:val="2"/>
            <w:tcBorders>
              <w:tl2br w:val="nil"/>
              <w:tr2bl w:val="nil"/>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5310" w:type="dxa"/>
            <w:gridSpan w:val="17"/>
            <w:tcBorders>
              <w:tl2br w:val="nil"/>
              <w:tr2bl w:val="nil"/>
            </w:tcBorders>
            <w:vAlign w:val="center"/>
          </w:tcPr>
          <w:p>
            <w:pPr>
              <w:jc w:val="left"/>
              <w:rPr>
                <w:rFonts w:ascii="黑体" w:hAnsi="黑体" w:eastAsia="黑体" w:cs="宋体"/>
                <w:bCs/>
                <w:color w:val="000000"/>
                <w:sz w:val="28"/>
                <w:szCs w:val="24"/>
                <w:highlight w:val="yellow"/>
              </w:rPr>
            </w:pPr>
            <w:r>
              <w:rPr>
                <w:rFonts w:hint="eastAsia" w:ascii="黑体" w:hAnsi="黑体" w:eastAsia="黑体" w:cs="宋体"/>
                <w:bCs/>
                <w:color w:val="000000"/>
                <w:sz w:val="28"/>
                <w:szCs w:val="24"/>
                <w:highlight w:val="yellow"/>
              </w:rPr>
              <w:t>三、医疗美容</w:t>
            </w:r>
            <w:r>
              <w:rPr>
                <w:rFonts w:hint="eastAsia" w:ascii="黑体" w:hAnsi="黑体" w:eastAsia="黑体" w:cs="宋体"/>
                <w:bCs/>
                <w:color w:val="000000"/>
                <w:sz w:val="28"/>
                <w:szCs w:val="24"/>
              </w:rPr>
              <w:t xml:space="preserve">  (※项不符合要求该项不得分)  共150分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417"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8079" w:type="dxa"/>
            <w:gridSpan w:val="5"/>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检查内容和方法</w:t>
            </w:r>
          </w:p>
        </w:tc>
        <w:tc>
          <w:tcPr>
            <w:tcW w:w="368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711"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1417" w:type="dxa"/>
            <w:gridSpan w:val="2"/>
            <w:tcBorders>
              <w:tl2br w:val="nil"/>
              <w:tr2bl w:val="nil"/>
            </w:tcBorders>
            <w:vAlign w:val="center"/>
          </w:tcPr>
          <w:p>
            <w:pPr>
              <w:spacing w:line="260" w:lineRule="exact"/>
              <w:jc w:val="center"/>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机构资质</w:t>
            </w:r>
          </w:p>
          <w:p>
            <w:pPr>
              <w:spacing w:line="260" w:lineRule="exact"/>
              <w:jc w:val="center"/>
              <w:rPr>
                <w:rFonts w:ascii="宋体" w:hAnsi="宋体"/>
                <w:b/>
                <w:bCs/>
                <w:color w:val="000000"/>
                <w:szCs w:val="21"/>
              </w:rPr>
            </w:pPr>
          </w:p>
          <w:p>
            <w:pPr>
              <w:spacing w:line="260" w:lineRule="exact"/>
              <w:jc w:val="center"/>
              <w:rPr>
                <w:rFonts w:ascii="宋体" w:hAnsi="宋体"/>
                <w:b/>
                <w:bCs/>
                <w:color w:val="000000"/>
                <w:szCs w:val="21"/>
              </w:rPr>
            </w:pPr>
          </w:p>
          <w:p>
            <w:pPr>
              <w:spacing w:line="260" w:lineRule="exact"/>
              <w:jc w:val="center"/>
              <w:rPr>
                <w:rFonts w:ascii="宋体" w:hAnsi="宋体"/>
                <w:b/>
                <w:bCs/>
                <w:color w:val="000000"/>
                <w:szCs w:val="21"/>
              </w:rPr>
            </w:pPr>
          </w:p>
          <w:p>
            <w:pPr>
              <w:spacing w:line="260" w:lineRule="exact"/>
              <w:jc w:val="center"/>
              <w:rPr>
                <w:rFonts w:ascii="宋体" w:hAnsi="宋体"/>
                <w:szCs w:val="21"/>
              </w:rPr>
            </w:pPr>
          </w:p>
        </w:tc>
        <w:tc>
          <w:tcPr>
            <w:tcW w:w="8079" w:type="dxa"/>
            <w:gridSpan w:val="5"/>
            <w:tcBorders>
              <w:tl2br w:val="nil"/>
              <w:tr2bl w:val="nil"/>
            </w:tcBorders>
          </w:tcPr>
          <w:p>
            <w:pPr>
              <w:spacing w:line="260" w:lineRule="exact"/>
              <w:rPr>
                <w:rFonts w:ascii="宋体" w:hAnsi="宋体"/>
                <w:color w:val="000000"/>
                <w:szCs w:val="21"/>
              </w:rPr>
            </w:pPr>
          </w:p>
          <w:p>
            <w:pPr>
              <w:spacing w:line="260" w:lineRule="exact"/>
              <w:rPr>
                <w:rFonts w:ascii="宋体" w:hAnsi="宋体"/>
                <w:color w:val="000000"/>
                <w:szCs w:val="21"/>
              </w:rPr>
            </w:pPr>
            <w:r>
              <w:rPr>
                <w:rFonts w:hint="eastAsia" w:ascii="宋体" w:hAnsi="宋体"/>
                <w:color w:val="000000"/>
                <w:szCs w:val="21"/>
              </w:rPr>
              <w:t>现场查看资料、门诊大厅等医疗场所及电子显示屏等检查：</w:t>
            </w:r>
          </w:p>
          <w:p>
            <w:pPr>
              <w:spacing w:line="260" w:lineRule="exact"/>
              <w:rPr>
                <w:rFonts w:ascii="宋体" w:hAnsi="宋体"/>
                <w:color w:val="000000"/>
                <w:szCs w:val="21"/>
              </w:rPr>
            </w:pPr>
            <w:r>
              <w:rPr>
                <w:rFonts w:hint="eastAsia" w:ascii="宋体" w:hAnsi="宋体"/>
                <w:color w:val="000000"/>
                <w:szCs w:val="21"/>
              </w:rPr>
              <w:t>1. 是否将《医疗机构执业许可证》正本、诊疗科目、诊疗时间和收费标准应悬挂于明显处；是否公示执业人员信息。</w:t>
            </w:r>
          </w:p>
          <w:p>
            <w:pPr>
              <w:spacing w:line="260" w:lineRule="exact"/>
              <w:rPr>
                <w:rFonts w:ascii="宋体" w:hAnsi="宋体"/>
                <w:color w:val="000000"/>
                <w:szCs w:val="21"/>
              </w:rPr>
            </w:pPr>
            <w:r>
              <w:rPr>
                <w:rFonts w:hint="eastAsia" w:ascii="宋体" w:hAnsi="宋体"/>
                <w:color w:val="000000"/>
                <w:szCs w:val="21"/>
              </w:rPr>
              <w:t>2.标识、牌匾以及医疗文件中使用的名称应与核准登记的医疗机构名称相同。</w:t>
            </w:r>
          </w:p>
          <w:p>
            <w:pPr>
              <w:spacing w:line="260" w:lineRule="exact"/>
              <w:rPr>
                <w:rFonts w:ascii="宋体" w:hAnsi="宋体"/>
                <w:color w:val="000000"/>
                <w:szCs w:val="21"/>
              </w:rPr>
            </w:pPr>
            <w:r>
              <w:rPr>
                <w:rFonts w:hint="eastAsia" w:ascii="宋体" w:hAnsi="宋体"/>
                <w:color w:val="000000"/>
                <w:szCs w:val="21"/>
              </w:rPr>
              <w:t>3.查看实际执业地址、名称及法定代表人等项目是否与登记项目一致,是否核准医疗美容诊疗科目(</w:t>
            </w:r>
            <w:r>
              <w:rPr>
                <w:rFonts w:hint="eastAsia" w:ascii="宋体" w:hAnsi="宋体"/>
                <w:b/>
                <w:color w:val="000000"/>
                <w:szCs w:val="21"/>
              </w:rPr>
              <w:t>※</w:t>
            </w:r>
            <w:r>
              <w:rPr>
                <w:rFonts w:hint="eastAsia" w:ascii="宋体" w:hAnsi="宋体"/>
                <w:color w:val="000000"/>
                <w:szCs w:val="21"/>
              </w:rPr>
              <w:t>)。查看《医疗机构执业许可证》及项目备案资料，开展的项目是否与备案的项目一致。是否有跨级别开展的医疗美容项目。</w:t>
            </w:r>
          </w:p>
          <w:p>
            <w:pPr>
              <w:spacing w:line="260" w:lineRule="exact"/>
              <w:rPr>
                <w:rFonts w:ascii="宋体" w:hAnsi="宋体"/>
                <w:szCs w:val="21"/>
              </w:rPr>
            </w:pPr>
            <w:r>
              <w:rPr>
                <w:rFonts w:hint="eastAsia" w:ascii="宋体" w:hAnsi="宋体"/>
                <w:color w:val="000000"/>
                <w:szCs w:val="21"/>
              </w:rPr>
              <w:t>4.现场核查设置的科室是否与核准的诊疗科目一致；查看是否设置有医学影像科、检验科、麻醉科等科室及其相对应的执业人员和设施设备。</w:t>
            </w:r>
          </w:p>
        </w:tc>
        <w:tc>
          <w:tcPr>
            <w:tcW w:w="3685" w:type="dxa"/>
            <w:gridSpan w:val="3"/>
            <w:tcBorders>
              <w:tl2br w:val="nil"/>
              <w:tr2bl w:val="nil"/>
            </w:tcBorders>
            <w:vAlign w:val="center"/>
          </w:tcPr>
          <w:p>
            <w:pPr>
              <w:spacing w:line="260" w:lineRule="exact"/>
              <w:rPr>
                <w:rFonts w:ascii="宋体" w:hAnsi="宋体"/>
                <w:color w:val="000000"/>
                <w:szCs w:val="21"/>
              </w:rPr>
            </w:pPr>
            <w:r>
              <w:rPr>
                <w:rFonts w:hint="eastAsia" w:ascii="宋体" w:hAnsi="宋体" w:cs="宋体"/>
                <w:color w:val="000000"/>
                <w:szCs w:val="21"/>
              </w:rPr>
              <w:t>发现一项不符合要求的扣</w:t>
            </w:r>
            <w:r>
              <w:rPr>
                <w:rFonts w:hint="eastAsia" w:ascii="宋体" w:hAnsi="宋体"/>
                <w:color w:val="000000"/>
                <w:szCs w:val="21"/>
              </w:rPr>
              <w:t>10</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olor w:val="000000"/>
                <w:szCs w:val="21"/>
              </w:rPr>
            </w:pPr>
            <w:r>
              <w:rPr>
                <w:rFonts w:hint="eastAsia" w:ascii="宋体" w:hAnsi="宋体" w:cs="宋体"/>
                <w:color w:val="000000"/>
                <w:szCs w:val="21"/>
              </w:rPr>
              <w:t>40</w:t>
            </w:r>
          </w:p>
        </w:tc>
        <w:tc>
          <w:tcPr>
            <w:tcW w:w="709" w:type="dxa"/>
            <w:gridSpan w:val="2"/>
            <w:tcBorders>
              <w:tl2br w:val="nil"/>
              <w:tr2bl w:val="nil"/>
            </w:tcBorders>
          </w:tcPr>
          <w:p>
            <w:pPr>
              <w:spacing w:line="280" w:lineRule="exact"/>
              <w:rPr>
                <w:rFonts w:ascii="宋体" w:hAnsi="宋体"/>
                <w:color w:val="000000"/>
                <w:szCs w:val="21"/>
              </w:rPr>
            </w:pPr>
          </w:p>
        </w:tc>
        <w:tc>
          <w:tcPr>
            <w:tcW w:w="711" w:type="dxa"/>
            <w:gridSpan w:val="2"/>
            <w:tcBorders>
              <w:tl2br w:val="nil"/>
              <w:tr2bl w:val="nil"/>
            </w:tcBorders>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417" w:type="dxa"/>
            <w:gridSpan w:val="2"/>
            <w:tcBorders>
              <w:tl2br w:val="nil"/>
              <w:tr2bl w:val="nil"/>
            </w:tcBorders>
            <w:vAlign w:val="center"/>
          </w:tcPr>
          <w:p>
            <w:pPr>
              <w:spacing w:line="260" w:lineRule="exact"/>
              <w:jc w:val="center"/>
              <w:rPr>
                <w:rFonts w:ascii="宋体" w:hAnsi="宋体"/>
                <w:b/>
                <w:bCs/>
                <w:color w:val="000000"/>
                <w:szCs w:val="21"/>
              </w:rPr>
            </w:pPr>
            <w:r>
              <w:rPr>
                <w:rFonts w:hint="eastAsia" w:ascii="宋体" w:hAnsi="宋体"/>
                <w:b/>
                <w:bCs/>
                <w:color w:val="000000"/>
                <w:szCs w:val="21"/>
              </w:rPr>
              <w:t>2.人员资质</w:t>
            </w:r>
          </w:p>
        </w:tc>
        <w:tc>
          <w:tcPr>
            <w:tcW w:w="8079" w:type="dxa"/>
            <w:gridSpan w:val="5"/>
            <w:tcBorders>
              <w:tl2br w:val="nil"/>
              <w:tr2bl w:val="nil"/>
            </w:tcBorders>
          </w:tcPr>
          <w:p>
            <w:pPr>
              <w:spacing w:line="260" w:lineRule="exact"/>
              <w:rPr>
                <w:rFonts w:ascii="宋体" w:hAnsi="宋体"/>
                <w:color w:val="000000"/>
                <w:szCs w:val="21"/>
              </w:rPr>
            </w:pPr>
          </w:p>
          <w:p>
            <w:pPr>
              <w:spacing w:line="260" w:lineRule="exact"/>
              <w:rPr>
                <w:rFonts w:ascii="宋体" w:hAnsi="宋体"/>
                <w:color w:val="000000"/>
                <w:szCs w:val="21"/>
              </w:rPr>
            </w:pPr>
            <w:r>
              <w:rPr>
                <w:rFonts w:hint="eastAsia" w:ascii="宋体" w:hAnsi="宋体"/>
                <w:color w:val="000000"/>
                <w:szCs w:val="21"/>
              </w:rPr>
              <w:t>1.现场检查并查看病历等医学文书，核对护士、医师执业资质。重点查看手术记录，核查实施医疗美容项目的医师是否具备主诊医师资格。</w:t>
            </w:r>
          </w:p>
          <w:p>
            <w:pPr>
              <w:spacing w:line="260" w:lineRule="exact"/>
              <w:rPr>
                <w:rFonts w:ascii="宋体" w:hAnsi="宋体"/>
                <w:color w:val="000000"/>
                <w:szCs w:val="21"/>
              </w:rPr>
            </w:pPr>
            <w:r>
              <w:rPr>
                <w:rFonts w:hint="eastAsia" w:ascii="宋体" w:hAnsi="宋体"/>
                <w:color w:val="000000"/>
                <w:szCs w:val="21"/>
              </w:rPr>
              <w:t>2.现场查看处方、检验报告、放射相关报告单等医学文书，核对医师、药剂、检验和放射等人员执业资质。</w:t>
            </w:r>
          </w:p>
        </w:tc>
        <w:tc>
          <w:tcPr>
            <w:tcW w:w="3685" w:type="dxa"/>
            <w:gridSpan w:val="3"/>
            <w:tcBorders>
              <w:tl2br w:val="nil"/>
              <w:tr2bl w:val="nil"/>
            </w:tcBorders>
            <w:vAlign w:val="center"/>
          </w:tcPr>
          <w:p>
            <w:pPr>
              <w:spacing w:line="260" w:lineRule="exact"/>
              <w:rPr>
                <w:rFonts w:ascii="宋体" w:hAnsi="宋体" w:cs="宋体"/>
                <w:color w:val="000000"/>
                <w:szCs w:val="21"/>
              </w:rPr>
            </w:pPr>
            <w:r>
              <w:rPr>
                <w:rFonts w:hint="eastAsia" w:ascii="宋体" w:hAnsi="宋体" w:cs="宋体"/>
                <w:color w:val="000000"/>
                <w:szCs w:val="21"/>
              </w:rPr>
              <w:t>发现一名卫生技术人员不符合要求的扣</w:t>
            </w:r>
            <w:r>
              <w:rPr>
                <w:rFonts w:hint="eastAsia" w:ascii="宋体" w:hAnsi="宋体"/>
                <w:color w:val="000000"/>
                <w:szCs w:val="21"/>
              </w:rPr>
              <w:t>10</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50</w:t>
            </w:r>
          </w:p>
        </w:tc>
        <w:tc>
          <w:tcPr>
            <w:tcW w:w="709" w:type="dxa"/>
            <w:gridSpan w:val="2"/>
            <w:tcBorders>
              <w:tl2br w:val="nil"/>
              <w:tr2bl w:val="nil"/>
            </w:tcBorders>
          </w:tcPr>
          <w:p>
            <w:pPr>
              <w:spacing w:line="280" w:lineRule="exact"/>
              <w:rPr>
                <w:rFonts w:ascii="宋体" w:hAnsi="宋体"/>
                <w:color w:val="000000"/>
                <w:szCs w:val="21"/>
              </w:rPr>
            </w:pPr>
          </w:p>
        </w:tc>
        <w:tc>
          <w:tcPr>
            <w:tcW w:w="711" w:type="dxa"/>
            <w:gridSpan w:val="2"/>
            <w:tcBorders>
              <w:tl2br w:val="nil"/>
              <w:tr2bl w:val="nil"/>
            </w:tcBorders>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417" w:type="dxa"/>
            <w:gridSpan w:val="2"/>
            <w:tcBorders>
              <w:tl2br w:val="nil"/>
              <w:tr2bl w:val="nil"/>
            </w:tcBorders>
            <w:vAlign w:val="center"/>
          </w:tcPr>
          <w:p>
            <w:pPr>
              <w:spacing w:line="260" w:lineRule="exact"/>
              <w:jc w:val="center"/>
              <w:rPr>
                <w:rFonts w:ascii="宋体" w:hAnsi="宋体"/>
                <w:b/>
                <w:bCs/>
                <w:color w:val="000000"/>
                <w:szCs w:val="21"/>
              </w:rPr>
            </w:pPr>
            <w:r>
              <w:rPr>
                <w:rFonts w:hint="eastAsia" w:ascii="宋体" w:hAnsi="宋体"/>
                <w:b/>
                <w:bCs/>
                <w:color w:val="000000"/>
                <w:szCs w:val="21"/>
              </w:rPr>
              <w:t>3.药品管理</w:t>
            </w:r>
          </w:p>
          <w:p>
            <w:pPr>
              <w:spacing w:line="260" w:lineRule="exact"/>
              <w:jc w:val="center"/>
              <w:rPr>
                <w:rFonts w:ascii="宋体" w:hAnsi="宋体"/>
                <w:b/>
                <w:bCs/>
                <w:color w:val="000000"/>
                <w:szCs w:val="21"/>
              </w:rPr>
            </w:pPr>
          </w:p>
        </w:tc>
        <w:tc>
          <w:tcPr>
            <w:tcW w:w="8079" w:type="dxa"/>
            <w:gridSpan w:val="5"/>
            <w:tcBorders>
              <w:tl2br w:val="nil"/>
              <w:tr2bl w:val="nil"/>
            </w:tcBorders>
          </w:tcPr>
          <w:p>
            <w:pPr>
              <w:spacing w:line="260" w:lineRule="exact"/>
              <w:rPr>
                <w:rFonts w:ascii="宋体" w:hAnsi="宋体"/>
                <w:color w:val="000000"/>
                <w:szCs w:val="21"/>
              </w:rPr>
            </w:pPr>
            <w:r>
              <w:rPr>
                <w:rFonts w:hint="eastAsia" w:ascii="宋体" w:hAnsi="宋体"/>
                <w:color w:val="000000"/>
                <w:szCs w:val="21"/>
              </w:rPr>
              <w:t>查看现场，查阅相关管理制度及登记记录和处方，检查：</w:t>
            </w:r>
          </w:p>
          <w:p>
            <w:pPr>
              <w:spacing w:line="260" w:lineRule="exact"/>
              <w:rPr>
                <w:rFonts w:ascii="宋体" w:hAnsi="宋体"/>
                <w:color w:val="000000"/>
                <w:szCs w:val="21"/>
              </w:rPr>
            </w:pPr>
            <w:r>
              <w:rPr>
                <w:rFonts w:hint="eastAsia" w:ascii="宋体" w:hAnsi="宋体"/>
                <w:color w:val="000000"/>
                <w:szCs w:val="21"/>
              </w:rPr>
              <w:t>1.医疗用毒性药品的购置、储存、使用等是否符合《医疗用毒性药品管理办法》的要求。（重点检查注射用A型肉毒毒素）。</w:t>
            </w:r>
          </w:p>
          <w:p>
            <w:pPr>
              <w:spacing w:line="260" w:lineRule="exact"/>
              <w:rPr>
                <w:rFonts w:ascii="宋体" w:hAnsi="宋体"/>
                <w:color w:val="000000"/>
                <w:szCs w:val="21"/>
              </w:rPr>
            </w:pPr>
            <w:r>
              <w:rPr>
                <w:rFonts w:hint="eastAsia" w:ascii="宋体" w:hAnsi="宋体"/>
                <w:color w:val="000000"/>
                <w:szCs w:val="21"/>
              </w:rPr>
              <w:t>2.抗菌药物供应目录是否进行备案; 开具抗菌药物处方医师是否具有相应的专业技术职务任职资格，是否经过授权等。</w:t>
            </w:r>
          </w:p>
          <w:p>
            <w:pPr>
              <w:spacing w:line="260" w:lineRule="exact"/>
              <w:rPr>
                <w:rFonts w:ascii="宋体" w:hAnsi="宋体"/>
                <w:color w:val="000000"/>
                <w:szCs w:val="21"/>
              </w:rPr>
            </w:pPr>
            <w:r>
              <w:rPr>
                <w:rFonts w:hint="eastAsia" w:ascii="宋体" w:hAnsi="宋体"/>
                <w:color w:val="000000"/>
                <w:szCs w:val="21"/>
              </w:rPr>
              <w:t>3.麻醉药物的使用、药品的保存、出入库专册登记、空安瓿的回收等是否符合《麻醉药品和和精神药品管理条例》和《医疗机构麻醉药品、第一类精神药品管理规定》要求。</w:t>
            </w:r>
          </w:p>
        </w:tc>
        <w:tc>
          <w:tcPr>
            <w:tcW w:w="3685" w:type="dxa"/>
            <w:gridSpan w:val="3"/>
            <w:tcBorders>
              <w:tl2br w:val="nil"/>
              <w:tr2bl w:val="nil"/>
            </w:tcBorders>
            <w:vAlign w:val="center"/>
          </w:tcPr>
          <w:p>
            <w:pPr>
              <w:spacing w:line="260" w:lineRule="exact"/>
              <w:rPr>
                <w:rFonts w:ascii="宋体" w:hAnsi="宋体" w:cs="宋体"/>
                <w:color w:val="000000"/>
                <w:szCs w:val="21"/>
              </w:rPr>
            </w:pPr>
            <w:r>
              <w:rPr>
                <w:rFonts w:hint="eastAsia" w:ascii="宋体" w:hAnsi="宋体" w:cs="宋体"/>
                <w:color w:val="000000"/>
                <w:szCs w:val="21"/>
              </w:rPr>
              <w:t>发现一项不符合要求的扣</w:t>
            </w:r>
            <w:r>
              <w:rPr>
                <w:rFonts w:hint="eastAsia" w:ascii="宋体" w:hAnsi="宋体"/>
                <w:color w:val="000000"/>
                <w:szCs w:val="21"/>
              </w:rPr>
              <w:t>10</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30</w:t>
            </w:r>
          </w:p>
        </w:tc>
        <w:tc>
          <w:tcPr>
            <w:tcW w:w="709" w:type="dxa"/>
            <w:gridSpan w:val="2"/>
            <w:tcBorders>
              <w:tl2br w:val="nil"/>
              <w:tr2bl w:val="nil"/>
            </w:tcBorders>
          </w:tcPr>
          <w:p>
            <w:pPr>
              <w:spacing w:line="280" w:lineRule="exact"/>
              <w:rPr>
                <w:rFonts w:ascii="宋体" w:hAnsi="宋体"/>
                <w:color w:val="000000"/>
                <w:szCs w:val="21"/>
              </w:rPr>
            </w:pPr>
          </w:p>
        </w:tc>
        <w:tc>
          <w:tcPr>
            <w:tcW w:w="711" w:type="dxa"/>
            <w:gridSpan w:val="2"/>
            <w:tcBorders>
              <w:tl2br w:val="nil"/>
              <w:tr2bl w:val="nil"/>
            </w:tcBorders>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1417" w:type="dxa"/>
            <w:gridSpan w:val="2"/>
            <w:tcBorders>
              <w:tl2br w:val="nil"/>
              <w:tr2bl w:val="nil"/>
            </w:tcBorders>
            <w:vAlign w:val="center"/>
          </w:tcPr>
          <w:p>
            <w:pPr>
              <w:spacing w:line="260" w:lineRule="exact"/>
              <w:jc w:val="center"/>
              <w:rPr>
                <w:rFonts w:ascii="宋体" w:hAnsi="宋体"/>
                <w:b/>
                <w:bCs/>
                <w:color w:val="000000"/>
                <w:szCs w:val="21"/>
              </w:rPr>
            </w:pPr>
            <w:r>
              <w:rPr>
                <w:rFonts w:hint="eastAsia" w:ascii="宋体" w:hAnsi="宋体"/>
                <w:b/>
                <w:bCs/>
                <w:color w:val="000000"/>
                <w:szCs w:val="21"/>
              </w:rPr>
              <w:t>4.医疗器械</w:t>
            </w:r>
          </w:p>
        </w:tc>
        <w:tc>
          <w:tcPr>
            <w:tcW w:w="8079" w:type="dxa"/>
            <w:gridSpan w:val="5"/>
            <w:tcBorders>
              <w:tl2br w:val="nil"/>
              <w:tr2bl w:val="nil"/>
            </w:tcBorders>
          </w:tcPr>
          <w:p>
            <w:pPr>
              <w:spacing w:line="260" w:lineRule="exact"/>
              <w:rPr>
                <w:rFonts w:ascii="宋体" w:hAnsi="宋体"/>
                <w:color w:val="000000"/>
                <w:szCs w:val="21"/>
              </w:rPr>
            </w:pPr>
            <w:r>
              <w:rPr>
                <w:rFonts w:hint="eastAsia" w:ascii="宋体" w:hAnsi="宋体"/>
                <w:color w:val="000000"/>
                <w:szCs w:val="21"/>
              </w:rPr>
              <w:t>1.查看相关文件资料、制度及记录，核查是否建立并执行进货查验记录制度(3)；是否指定部门或人员统一采购医疗器械(2)。</w:t>
            </w:r>
          </w:p>
          <w:p>
            <w:pPr>
              <w:spacing w:line="260" w:lineRule="exact"/>
              <w:rPr>
                <w:rFonts w:ascii="宋体" w:hAnsi="宋体"/>
                <w:color w:val="000000"/>
                <w:szCs w:val="21"/>
              </w:rPr>
            </w:pPr>
            <w:r>
              <w:rPr>
                <w:rFonts w:hint="eastAsia" w:ascii="宋体" w:hAnsi="宋体"/>
                <w:color w:val="000000"/>
                <w:szCs w:val="21"/>
              </w:rPr>
              <w:t>2. 现场抽查使用的医疗器械购置、索证证明(5)。检查是否使用未依法注册的医疗器械（超声刀等）(5)；植入性医疗器械进货查验记录、使用记录是否永久保存(5)。其他医疗器械保存进货查验记录是否达到使用后2年(5)。抽查是否将植入类医疗器械（乳房假体、鼻假体等）和使用的注射用修饰透明质酸钠凝胶等相关信息记载在病历中(5)。</w:t>
            </w:r>
          </w:p>
        </w:tc>
        <w:tc>
          <w:tcPr>
            <w:tcW w:w="3685" w:type="dxa"/>
            <w:gridSpan w:val="3"/>
            <w:tcBorders>
              <w:tl2br w:val="nil"/>
              <w:tr2bl w:val="nil"/>
            </w:tcBorders>
            <w:vAlign w:val="center"/>
          </w:tcPr>
          <w:p>
            <w:pPr>
              <w:spacing w:line="260" w:lineRule="exact"/>
              <w:rPr>
                <w:rFonts w:ascii="宋体" w:hAnsi="宋体" w:cs="宋体"/>
                <w:color w:val="000000"/>
                <w:szCs w:val="21"/>
              </w:rPr>
            </w:pPr>
            <w:r>
              <w:rPr>
                <w:rFonts w:hint="eastAsia" w:ascii="宋体" w:hAnsi="宋体" w:cs="宋体"/>
                <w:color w:val="000000"/>
                <w:szCs w:val="21"/>
              </w:rPr>
              <w:t>发现一项不符合要求的按实际分值扣分，扣完为止。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30</w:t>
            </w:r>
          </w:p>
        </w:tc>
        <w:tc>
          <w:tcPr>
            <w:tcW w:w="709" w:type="dxa"/>
            <w:gridSpan w:val="2"/>
            <w:tcBorders>
              <w:tl2br w:val="nil"/>
              <w:tr2bl w:val="nil"/>
            </w:tcBorders>
          </w:tcPr>
          <w:p>
            <w:pPr>
              <w:spacing w:line="280" w:lineRule="exact"/>
              <w:rPr>
                <w:rFonts w:ascii="宋体" w:hAnsi="宋体"/>
                <w:color w:val="000000"/>
                <w:szCs w:val="21"/>
              </w:rPr>
            </w:pPr>
          </w:p>
        </w:tc>
        <w:tc>
          <w:tcPr>
            <w:tcW w:w="711" w:type="dxa"/>
            <w:gridSpan w:val="2"/>
            <w:tcBorders>
              <w:tl2br w:val="nil"/>
              <w:tr2bl w:val="nil"/>
            </w:tcBorders>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310" w:type="dxa"/>
            <w:gridSpan w:val="17"/>
            <w:tcBorders>
              <w:tl2br w:val="nil"/>
              <w:tr2bl w:val="nil"/>
            </w:tcBorders>
            <w:vAlign w:val="center"/>
          </w:tcPr>
          <w:p>
            <w:pPr>
              <w:rPr>
                <w:rFonts w:ascii="黑体" w:hAnsi="黑体" w:eastAsia="黑体"/>
                <w:color w:val="000000"/>
                <w:szCs w:val="21"/>
              </w:rPr>
            </w:pPr>
            <w:r>
              <w:rPr>
                <w:rFonts w:hint="eastAsia" w:ascii="黑体" w:hAnsi="黑体" w:eastAsia="黑体" w:cs="宋体"/>
                <w:bCs/>
                <w:color w:val="000000"/>
                <w:sz w:val="28"/>
                <w:szCs w:val="21"/>
                <w:highlight w:val="yellow"/>
              </w:rPr>
              <w:t>四.病历管理</w:t>
            </w:r>
            <w:r>
              <w:rPr>
                <w:rFonts w:hint="eastAsia" w:ascii="黑体" w:hAnsi="黑体" w:eastAsia="黑体" w:cs="宋体"/>
                <w:bCs/>
                <w:color w:val="000000"/>
                <w:sz w:val="28"/>
                <w:szCs w:val="21"/>
              </w:rPr>
              <w:t xml:space="preserve">  共90分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417"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8079" w:type="dxa"/>
            <w:gridSpan w:val="5"/>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检查内容和方法</w:t>
            </w:r>
          </w:p>
        </w:tc>
        <w:tc>
          <w:tcPr>
            <w:tcW w:w="368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711"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17" w:type="dxa"/>
            <w:gridSpan w:val="2"/>
            <w:tcBorders>
              <w:tl2br w:val="nil"/>
              <w:tr2bl w:val="nil"/>
            </w:tcBorders>
            <w:vAlign w:val="center"/>
          </w:tcPr>
          <w:p>
            <w:pPr>
              <w:spacing w:line="240" w:lineRule="exact"/>
              <w:rPr>
                <w:rFonts w:ascii="宋体" w:hAnsi="宋体"/>
                <w:color w:val="000000"/>
                <w:szCs w:val="21"/>
              </w:rPr>
            </w:pPr>
            <w:r>
              <w:rPr>
                <w:rFonts w:hint="eastAsia" w:ascii="宋体" w:hAnsi="宋体" w:cs="宋体"/>
                <w:b/>
                <w:bCs/>
                <w:color w:val="000000"/>
                <w:szCs w:val="21"/>
              </w:rPr>
              <w:t>1.知情告知</w:t>
            </w:r>
          </w:p>
        </w:tc>
        <w:tc>
          <w:tcPr>
            <w:tcW w:w="8079" w:type="dxa"/>
            <w:gridSpan w:val="5"/>
            <w:tcBorders>
              <w:tl2br w:val="nil"/>
              <w:tr2bl w:val="nil"/>
            </w:tcBorders>
            <w:vAlign w:val="center"/>
          </w:tcPr>
          <w:p>
            <w:r>
              <w:rPr>
                <w:rFonts w:hint="eastAsia" w:ascii="宋体" w:hAnsi="宋体"/>
                <w:color w:val="000000"/>
                <w:szCs w:val="21"/>
              </w:rPr>
              <w:t>查看病历中是否有相关的知情同意书，是否规范填写，患方是否有签字。</w:t>
            </w:r>
          </w:p>
        </w:tc>
        <w:tc>
          <w:tcPr>
            <w:tcW w:w="3685" w:type="dxa"/>
            <w:gridSpan w:val="3"/>
            <w:tcBorders>
              <w:tl2br w:val="nil"/>
              <w:tr2bl w:val="nil"/>
            </w:tcBorders>
            <w:vAlign w:val="center"/>
          </w:tcPr>
          <w:p>
            <w:pPr>
              <w:spacing w:line="240" w:lineRule="exact"/>
              <w:rPr>
                <w:rFonts w:ascii="宋体" w:hAnsi="宋体" w:cs="宋体"/>
                <w:color w:val="000000"/>
                <w:szCs w:val="21"/>
              </w:rPr>
            </w:pPr>
            <w:r>
              <w:rPr>
                <w:rFonts w:hint="eastAsia" w:ascii="宋体" w:hAnsi="宋体" w:cs="宋体"/>
                <w:color w:val="000000"/>
                <w:szCs w:val="21"/>
              </w:rPr>
              <w:t>发现一处不符合要求的扣</w:t>
            </w:r>
            <w:r>
              <w:rPr>
                <w:rFonts w:hint="eastAsia" w:ascii="宋体" w:hAnsi="宋体"/>
                <w:color w:val="000000"/>
                <w:szCs w:val="21"/>
              </w:rPr>
              <w:t>2</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olor w:val="000000"/>
                <w:szCs w:val="21"/>
              </w:rPr>
            </w:pPr>
            <w:r>
              <w:rPr>
                <w:rFonts w:hint="eastAsia" w:ascii="宋体" w:hAnsi="宋体" w:cs="宋体"/>
                <w:color w:val="000000"/>
                <w:szCs w:val="21"/>
              </w:rPr>
              <w:t>10</w:t>
            </w:r>
          </w:p>
        </w:tc>
        <w:tc>
          <w:tcPr>
            <w:tcW w:w="709" w:type="dxa"/>
            <w:gridSpan w:val="2"/>
            <w:tcBorders>
              <w:tl2br w:val="nil"/>
              <w:tr2bl w:val="nil"/>
            </w:tcBorders>
            <w:vAlign w:val="center"/>
          </w:tcPr>
          <w:p>
            <w:pPr>
              <w:spacing w:line="280" w:lineRule="exact"/>
              <w:rPr>
                <w:rFonts w:ascii="宋体" w:hAnsi="宋体"/>
                <w:color w:val="000000"/>
                <w:szCs w:val="21"/>
              </w:rPr>
            </w:pPr>
          </w:p>
        </w:tc>
        <w:tc>
          <w:tcPr>
            <w:tcW w:w="711" w:type="dxa"/>
            <w:gridSpan w:val="2"/>
            <w:tcBorders>
              <w:tl2br w:val="nil"/>
              <w:tr2bl w:val="nil"/>
            </w:tcBorders>
            <w:vAlign w:val="center"/>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17" w:type="dxa"/>
            <w:gridSpan w:val="2"/>
            <w:tcBorders>
              <w:tl2br w:val="nil"/>
              <w:tr2bl w:val="nil"/>
            </w:tcBorders>
            <w:vAlign w:val="center"/>
          </w:tcPr>
          <w:p>
            <w:pPr>
              <w:spacing w:line="240" w:lineRule="exact"/>
              <w:rPr>
                <w:rFonts w:ascii="宋体" w:hAnsi="宋体" w:cs="宋体"/>
                <w:b/>
                <w:bCs/>
                <w:color w:val="000000"/>
                <w:szCs w:val="21"/>
              </w:rPr>
            </w:pPr>
            <w:r>
              <w:rPr>
                <w:rFonts w:hint="eastAsia" w:ascii="宋体" w:hAnsi="宋体" w:cs="宋体"/>
                <w:b/>
                <w:bCs/>
                <w:color w:val="000000"/>
                <w:szCs w:val="21"/>
              </w:rPr>
              <w:t>2.医学证明</w:t>
            </w:r>
          </w:p>
        </w:tc>
        <w:tc>
          <w:tcPr>
            <w:tcW w:w="8079" w:type="dxa"/>
            <w:gridSpan w:val="5"/>
            <w:tcBorders>
              <w:tl2br w:val="nil"/>
              <w:tr2bl w:val="nil"/>
            </w:tcBorders>
            <w:vAlign w:val="center"/>
          </w:tcPr>
          <w:p>
            <w:r>
              <w:rPr>
                <w:rFonts w:hint="eastAsia" w:ascii="宋体" w:hAnsi="宋体"/>
                <w:color w:val="000000"/>
                <w:szCs w:val="21"/>
              </w:rPr>
              <w:t>抽查医疗机构医疗管理部门登记记录，随机提取其中5份医学证明，查看其相关诊疗记录，核查是否存在未经亲自诊查病人出具相关证明文件。</w:t>
            </w:r>
          </w:p>
        </w:tc>
        <w:tc>
          <w:tcPr>
            <w:tcW w:w="3685" w:type="dxa"/>
            <w:gridSpan w:val="3"/>
            <w:tcBorders>
              <w:tl2br w:val="nil"/>
              <w:tr2bl w:val="nil"/>
            </w:tcBorders>
            <w:vAlign w:val="center"/>
          </w:tcPr>
          <w:p>
            <w:pPr>
              <w:spacing w:line="240" w:lineRule="exact"/>
              <w:rPr>
                <w:rFonts w:ascii="宋体" w:hAnsi="宋体" w:cs="宋体"/>
                <w:color w:val="000000"/>
                <w:szCs w:val="21"/>
              </w:rPr>
            </w:pPr>
            <w:r>
              <w:rPr>
                <w:rFonts w:hint="eastAsia" w:ascii="宋体" w:hAnsi="宋体" w:cs="宋体"/>
                <w:color w:val="000000"/>
                <w:szCs w:val="21"/>
              </w:rPr>
              <w:t>发现一份不符合要求的扣</w:t>
            </w:r>
            <w:r>
              <w:rPr>
                <w:rFonts w:hint="eastAsia" w:ascii="宋体" w:hAnsi="宋体"/>
                <w:color w:val="000000"/>
                <w:szCs w:val="21"/>
              </w:rPr>
              <w:t>5</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20</w:t>
            </w:r>
          </w:p>
        </w:tc>
        <w:tc>
          <w:tcPr>
            <w:tcW w:w="709" w:type="dxa"/>
            <w:gridSpan w:val="2"/>
            <w:tcBorders>
              <w:tl2br w:val="nil"/>
              <w:tr2bl w:val="nil"/>
            </w:tcBorders>
            <w:vAlign w:val="center"/>
          </w:tcPr>
          <w:p>
            <w:pPr>
              <w:spacing w:line="280" w:lineRule="exact"/>
              <w:rPr>
                <w:rFonts w:ascii="宋体" w:hAnsi="宋体"/>
                <w:color w:val="000000"/>
                <w:szCs w:val="21"/>
              </w:rPr>
            </w:pPr>
          </w:p>
        </w:tc>
        <w:tc>
          <w:tcPr>
            <w:tcW w:w="711" w:type="dxa"/>
            <w:gridSpan w:val="2"/>
            <w:tcBorders>
              <w:tl2br w:val="nil"/>
              <w:tr2bl w:val="nil"/>
            </w:tcBorders>
            <w:vAlign w:val="center"/>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6" w:hRule="atLeast"/>
          <w:jc w:val="center"/>
        </w:trPr>
        <w:tc>
          <w:tcPr>
            <w:tcW w:w="1417" w:type="dxa"/>
            <w:gridSpan w:val="2"/>
            <w:tcBorders>
              <w:tl2br w:val="nil"/>
              <w:tr2bl w:val="nil"/>
            </w:tcBorders>
            <w:vAlign w:val="center"/>
          </w:tcPr>
          <w:p>
            <w:pPr>
              <w:spacing w:line="240" w:lineRule="exact"/>
              <w:rPr>
                <w:rFonts w:ascii="宋体" w:hAnsi="宋体" w:cs="宋体"/>
                <w:b/>
                <w:bCs/>
                <w:color w:val="000000"/>
                <w:szCs w:val="21"/>
              </w:rPr>
            </w:pPr>
            <w:r>
              <w:rPr>
                <w:rFonts w:hint="eastAsia" w:ascii="宋体" w:hAnsi="宋体" w:cs="宋体"/>
                <w:b/>
                <w:bCs/>
                <w:color w:val="000000"/>
                <w:szCs w:val="21"/>
              </w:rPr>
              <w:t>3.</w:t>
            </w:r>
            <w:r>
              <w:rPr>
                <w:rFonts w:ascii="宋体" w:hAnsi="宋体" w:cs="宋体"/>
                <w:b/>
                <w:bCs/>
                <w:color w:val="000000"/>
                <w:szCs w:val="21"/>
              </w:rPr>
              <w:t>病历书写</w:t>
            </w:r>
          </w:p>
        </w:tc>
        <w:tc>
          <w:tcPr>
            <w:tcW w:w="8079" w:type="dxa"/>
            <w:gridSpan w:val="5"/>
            <w:tcBorders>
              <w:tl2br w:val="nil"/>
              <w:tr2bl w:val="nil"/>
            </w:tcBorders>
            <w:vAlign w:val="center"/>
          </w:tcPr>
          <w:p>
            <w:pPr>
              <w:rPr>
                <w:rFonts w:ascii="宋体" w:hAnsi="宋体"/>
                <w:color w:val="000000"/>
                <w:szCs w:val="21"/>
              </w:rPr>
            </w:pPr>
            <w:r>
              <w:rPr>
                <w:rFonts w:hint="eastAsia" w:ascii="宋体" w:hAnsi="宋体"/>
                <w:color w:val="000000"/>
                <w:szCs w:val="21"/>
              </w:rPr>
              <w:t>查看病历是否按照</w:t>
            </w:r>
            <w:r>
              <w:rPr>
                <w:rFonts w:ascii="宋体" w:hAnsi="宋体"/>
                <w:color w:val="000000"/>
                <w:szCs w:val="21"/>
              </w:rPr>
              <w:t>《病历书写基本规范》、《中医病历书写基本规范》、《电子病历基本规范(试行)》和《中医电子病历基本规范(试行)》要求书写。</w:t>
            </w:r>
          </w:p>
          <w:p>
            <w:pPr>
              <w:rPr>
                <w:rFonts w:ascii="宋体" w:hAnsi="宋体"/>
                <w:color w:val="000000"/>
                <w:szCs w:val="21"/>
              </w:rPr>
            </w:pPr>
            <w:r>
              <w:rPr>
                <w:rFonts w:hint="eastAsia" w:ascii="宋体" w:hAnsi="宋体"/>
                <w:color w:val="000000"/>
                <w:szCs w:val="21"/>
              </w:rPr>
              <w:t>1.根据病人实际情况核实各种记录是否按</w:t>
            </w:r>
            <w:r>
              <w:rPr>
                <w:rFonts w:ascii="宋体" w:hAnsi="宋体"/>
                <w:color w:val="000000"/>
                <w:szCs w:val="21"/>
              </w:rPr>
              <w:t>《病历书写基本规范》</w:t>
            </w:r>
            <w:r>
              <w:rPr>
                <w:rFonts w:hint="eastAsia" w:ascii="宋体" w:hAnsi="宋体"/>
                <w:color w:val="000000"/>
                <w:szCs w:val="21"/>
              </w:rPr>
              <w:t>规定时限完成。</w:t>
            </w:r>
          </w:p>
          <w:p>
            <w:pPr>
              <w:rPr>
                <w:rFonts w:ascii="宋体" w:hAnsi="宋体"/>
                <w:color w:val="000000"/>
                <w:szCs w:val="21"/>
              </w:rPr>
            </w:pPr>
            <w:r>
              <w:rPr>
                <w:rFonts w:hint="eastAsia" w:ascii="宋体" w:hAnsi="宋体"/>
                <w:color w:val="000000"/>
                <w:szCs w:val="21"/>
              </w:rPr>
              <w:t>2.知情同意书、告知书、特殊检查、特殊治疗同意书、病危（重）通知书、医嘱单内容是否完整，签字是否齐全。</w:t>
            </w:r>
          </w:p>
          <w:p>
            <w:pPr>
              <w:rPr>
                <w:rFonts w:ascii="宋体" w:hAnsi="宋体"/>
                <w:color w:val="000000"/>
                <w:szCs w:val="21"/>
              </w:rPr>
            </w:pPr>
            <w:r>
              <w:rPr>
                <w:rFonts w:hint="eastAsia" w:ascii="宋体" w:hAnsi="宋体"/>
                <w:color w:val="000000"/>
                <w:szCs w:val="21"/>
              </w:rPr>
              <w:t>3.实习医务人员、试用期医务人员书写病历是否</w:t>
            </w:r>
            <w:r>
              <w:rPr>
                <w:rFonts w:ascii="宋体" w:hAnsi="宋体"/>
                <w:color w:val="000000"/>
                <w:szCs w:val="21"/>
              </w:rPr>
              <w:t>经过本医疗机构注册的医务人员审阅、修改并签名</w:t>
            </w:r>
            <w:r>
              <w:rPr>
                <w:rFonts w:hint="eastAsia" w:ascii="宋体" w:hAnsi="宋体"/>
                <w:color w:val="000000"/>
                <w:szCs w:val="21"/>
              </w:rPr>
              <w:t>，核查医师签名是否与签字留样一致</w:t>
            </w:r>
            <w:r>
              <w:rPr>
                <w:rFonts w:ascii="宋体" w:hAnsi="宋体"/>
                <w:color w:val="000000"/>
                <w:szCs w:val="21"/>
              </w:rPr>
              <w:t>。</w:t>
            </w:r>
          </w:p>
          <w:p>
            <w:pPr>
              <w:rPr>
                <w:rFonts w:ascii="宋体" w:hAnsi="宋体"/>
                <w:color w:val="000000"/>
                <w:szCs w:val="21"/>
              </w:rPr>
            </w:pPr>
            <w:r>
              <w:rPr>
                <w:rFonts w:hint="eastAsia" w:ascii="宋体" w:hAnsi="宋体"/>
                <w:color w:val="000000"/>
                <w:szCs w:val="21"/>
              </w:rPr>
              <w:t>4.使用植入和介入类医疗器械的，病历中是否保存植入和介入类医疗器械（心脏支架、鼻假体等）条形码。</w:t>
            </w:r>
          </w:p>
          <w:p>
            <w:pPr>
              <w:rPr>
                <w:rFonts w:ascii="宋体" w:hAnsi="宋体"/>
                <w:color w:val="000000"/>
                <w:szCs w:val="21"/>
              </w:rPr>
            </w:pPr>
            <w:r>
              <w:rPr>
                <w:rFonts w:hint="eastAsia" w:ascii="宋体" w:hAnsi="宋体"/>
                <w:color w:val="000000"/>
                <w:szCs w:val="21"/>
              </w:rPr>
              <w:t>5.抽查输血病历，查看相关检验报告、执行医嘱、输血护理记录单及手术安全核查记录等。检查是否按《医疗机构临床用血管理办法》、《临床输血技术规范》规定进行申请、交叉配血、发血、输血，是否将患者输血适应证的评估、输血过程和输血后疗效评价情况记入病历。</w:t>
            </w:r>
          </w:p>
          <w:p>
            <w:r>
              <w:rPr>
                <w:rFonts w:hint="eastAsia" w:ascii="宋体" w:hAnsi="宋体"/>
                <w:color w:val="000000"/>
                <w:szCs w:val="21"/>
              </w:rPr>
              <w:t>6.</w:t>
            </w:r>
            <w:r>
              <w:rPr>
                <w:rFonts w:hint="eastAsia"/>
              </w:rPr>
              <w:t xml:space="preserve"> 查看</w:t>
            </w:r>
            <w:r>
              <w:rPr>
                <w:rFonts w:hint="eastAsia" w:ascii="宋体" w:hAnsi="宋体"/>
                <w:color w:val="000000"/>
                <w:szCs w:val="21"/>
              </w:rPr>
              <w:t>手术病历的病程中是否有对患者拟施麻醉进行风险评估、对术后患者麻醉恢复情况进行访视记录或麻醉术前、术后访视记录单。</w:t>
            </w:r>
          </w:p>
        </w:tc>
        <w:tc>
          <w:tcPr>
            <w:tcW w:w="3685" w:type="dxa"/>
            <w:gridSpan w:val="3"/>
            <w:tcBorders>
              <w:tl2br w:val="nil"/>
              <w:tr2bl w:val="nil"/>
            </w:tcBorders>
            <w:vAlign w:val="center"/>
          </w:tcPr>
          <w:p>
            <w:pPr>
              <w:spacing w:line="240" w:lineRule="exact"/>
              <w:rPr>
                <w:rFonts w:ascii="宋体" w:hAnsi="宋体" w:cs="宋体"/>
                <w:color w:val="000000"/>
                <w:szCs w:val="21"/>
              </w:rPr>
            </w:pPr>
            <w:r>
              <w:rPr>
                <w:rFonts w:hint="eastAsia" w:ascii="宋体" w:hAnsi="宋体" w:cs="宋体"/>
                <w:color w:val="000000"/>
                <w:szCs w:val="21"/>
              </w:rPr>
              <w:t>发现一处不符合要求的扣</w:t>
            </w:r>
            <w:r>
              <w:rPr>
                <w:rFonts w:hint="eastAsia" w:ascii="宋体" w:hAnsi="宋体"/>
                <w:color w:val="000000"/>
                <w:szCs w:val="21"/>
              </w:rPr>
              <w:t>2</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50</w:t>
            </w:r>
          </w:p>
        </w:tc>
        <w:tc>
          <w:tcPr>
            <w:tcW w:w="709" w:type="dxa"/>
            <w:gridSpan w:val="2"/>
            <w:tcBorders>
              <w:tl2br w:val="nil"/>
              <w:tr2bl w:val="nil"/>
            </w:tcBorders>
            <w:vAlign w:val="center"/>
          </w:tcPr>
          <w:p>
            <w:pPr>
              <w:spacing w:line="280" w:lineRule="exact"/>
              <w:rPr>
                <w:rFonts w:ascii="宋体" w:hAnsi="宋体"/>
                <w:color w:val="000000"/>
                <w:szCs w:val="21"/>
              </w:rPr>
            </w:pPr>
          </w:p>
        </w:tc>
        <w:tc>
          <w:tcPr>
            <w:tcW w:w="711" w:type="dxa"/>
            <w:gridSpan w:val="2"/>
            <w:tcBorders>
              <w:tl2br w:val="nil"/>
              <w:tr2bl w:val="nil"/>
            </w:tcBorders>
            <w:vAlign w:val="center"/>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jc w:val="center"/>
        </w:trPr>
        <w:tc>
          <w:tcPr>
            <w:tcW w:w="1417" w:type="dxa"/>
            <w:gridSpan w:val="2"/>
            <w:tcBorders>
              <w:tl2br w:val="nil"/>
              <w:tr2bl w:val="nil"/>
            </w:tcBorders>
            <w:vAlign w:val="center"/>
          </w:tcPr>
          <w:p>
            <w:pPr>
              <w:spacing w:line="240" w:lineRule="exact"/>
              <w:rPr>
                <w:rFonts w:ascii="宋体" w:hAnsi="宋体" w:cs="宋体"/>
                <w:b/>
                <w:bCs/>
                <w:color w:val="000000"/>
                <w:szCs w:val="21"/>
              </w:rPr>
            </w:pPr>
            <w:r>
              <w:rPr>
                <w:rFonts w:hint="eastAsia" w:ascii="宋体" w:hAnsi="宋体" w:cs="宋体"/>
                <w:b/>
                <w:bCs/>
                <w:color w:val="000000"/>
                <w:szCs w:val="21"/>
              </w:rPr>
              <w:t>4.病历保管</w:t>
            </w:r>
          </w:p>
        </w:tc>
        <w:tc>
          <w:tcPr>
            <w:tcW w:w="8079" w:type="dxa"/>
            <w:gridSpan w:val="5"/>
            <w:tcBorders>
              <w:tl2br w:val="nil"/>
              <w:tr2bl w:val="nil"/>
            </w:tcBorders>
            <w:vAlign w:val="center"/>
          </w:tcPr>
          <w:p>
            <w:pPr>
              <w:spacing w:line="240" w:lineRule="exact"/>
              <w:rPr>
                <w:rFonts w:ascii="宋体" w:hAnsi="宋体"/>
                <w:color w:val="000000"/>
                <w:szCs w:val="21"/>
              </w:rPr>
            </w:pPr>
            <w:r>
              <w:rPr>
                <w:rFonts w:hint="eastAsia" w:ascii="宋体" w:hAnsi="宋体"/>
                <w:color w:val="000000"/>
                <w:szCs w:val="21"/>
              </w:rPr>
              <w:t>1.核查门（急）诊病历、住院病历保存时间是否符合规定。</w:t>
            </w:r>
          </w:p>
          <w:p>
            <w:pPr>
              <w:spacing w:line="240" w:lineRule="exact"/>
              <w:rPr>
                <w:rFonts w:ascii="宋体" w:hAnsi="宋体"/>
                <w:color w:val="000000"/>
                <w:szCs w:val="21"/>
              </w:rPr>
            </w:pPr>
            <w:r>
              <w:rPr>
                <w:rFonts w:hint="eastAsia" w:ascii="宋体" w:hAnsi="宋体"/>
                <w:color w:val="000000"/>
                <w:szCs w:val="21"/>
              </w:rPr>
              <w:t>2.检查</w:t>
            </w:r>
            <w:r>
              <w:rPr>
                <w:rFonts w:ascii="宋体" w:hAnsi="宋体"/>
                <w:color w:val="000000"/>
                <w:szCs w:val="21"/>
              </w:rPr>
              <w:t>住院患者检查检验结果和相关资料</w:t>
            </w:r>
            <w:r>
              <w:rPr>
                <w:rFonts w:hint="eastAsia" w:ascii="宋体" w:hAnsi="宋体"/>
                <w:color w:val="000000"/>
                <w:szCs w:val="21"/>
              </w:rPr>
              <w:t>是否在收到后</w:t>
            </w:r>
            <w:r>
              <w:rPr>
                <w:rFonts w:ascii="宋体" w:hAnsi="宋体"/>
                <w:color w:val="000000"/>
                <w:szCs w:val="21"/>
              </w:rPr>
              <w:t>24小时内归入或者录入住院病历</w:t>
            </w:r>
            <w:r>
              <w:rPr>
                <w:rFonts w:hint="eastAsia" w:ascii="宋体" w:hAnsi="宋体"/>
                <w:color w:val="000000"/>
                <w:szCs w:val="21"/>
              </w:rPr>
              <w:t>。</w:t>
            </w:r>
          </w:p>
          <w:p>
            <w:pPr>
              <w:spacing w:line="240" w:lineRule="exact"/>
            </w:pPr>
            <w:r>
              <w:rPr>
                <w:rFonts w:hint="eastAsia" w:ascii="宋体" w:hAnsi="宋体"/>
                <w:color w:val="000000"/>
                <w:szCs w:val="21"/>
              </w:rPr>
              <w:t>3.出院后住院病历是否由病案管理部门或人员统一保存和管理。</w:t>
            </w:r>
          </w:p>
        </w:tc>
        <w:tc>
          <w:tcPr>
            <w:tcW w:w="3685" w:type="dxa"/>
            <w:gridSpan w:val="3"/>
            <w:tcBorders>
              <w:tl2br w:val="nil"/>
              <w:tr2bl w:val="nil"/>
            </w:tcBorders>
            <w:vAlign w:val="center"/>
          </w:tcPr>
          <w:p>
            <w:pPr>
              <w:spacing w:line="240" w:lineRule="exact"/>
              <w:rPr>
                <w:rFonts w:ascii="宋体" w:hAnsi="宋体" w:cs="宋体"/>
                <w:color w:val="000000"/>
                <w:szCs w:val="21"/>
              </w:rPr>
            </w:pPr>
            <w:r>
              <w:rPr>
                <w:rFonts w:hint="eastAsia" w:ascii="宋体" w:hAnsi="宋体" w:cs="宋体"/>
                <w:color w:val="000000"/>
                <w:szCs w:val="21"/>
              </w:rPr>
              <w:t>发现一项不符合要求的扣</w:t>
            </w:r>
            <w:r>
              <w:rPr>
                <w:rFonts w:hint="eastAsia" w:ascii="宋体" w:hAnsi="宋体"/>
                <w:color w:val="000000"/>
                <w:szCs w:val="21"/>
              </w:rPr>
              <w:t>5</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10</w:t>
            </w:r>
          </w:p>
        </w:tc>
        <w:tc>
          <w:tcPr>
            <w:tcW w:w="709" w:type="dxa"/>
            <w:gridSpan w:val="2"/>
            <w:tcBorders>
              <w:tl2br w:val="nil"/>
              <w:tr2bl w:val="nil"/>
            </w:tcBorders>
            <w:vAlign w:val="center"/>
          </w:tcPr>
          <w:p>
            <w:pPr>
              <w:spacing w:line="280" w:lineRule="exact"/>
              <w:rPr>
                <w:rFonts w:ascii="宋体" w:hAnsi="宋体"/>
                <w:color w:val="000000"/>
                <w:szCs w:val="21"/>
              </w:rPr>
            </w:pPr>
          </w:p>
        </w:tc>
        <w:tc>
          <w:tcPr>
            <w:tcW w:w="711" w:type="dxa"/>
            <w:gridSpan w:val="2"/>
            <w:tcBorders>
              <w:tl2br w:val="nil"/>
              <w:tr2bl w:val="nil"/>
            </w:tcBorders>
            <w:vAlign w:val="center"/>
          </w:tcPr>
          <w:p>
            <w:pPr>
              <w:spacing w:line="28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5310" w:type="dxa"/>
            <w:gridSpan w:val="17"/>
            <w:tcBorders>
              <w:tl2br w:val="nil"/>
              <w:tr2bl w:val="nil"/>
            </w:tcBorders>
            <w:vAlign w:val="center"/>
          </w:tcPr>
          <w:p>
            <w:pPr>
              <w:rPr>
                <w:rFonts w:ascii="黑体" w:hAnsi="黑体" w:eastAsia="黑体"/>
                <w:color w:val="000000"/>
                <w:szCs w:val="21"/>
              </w:rPr>
            </w:pPr>
            <w:r>
              <w:rPr>
                <w:rFonts w:hint="eastAsia" w:ascii="黑体" w:hAnsi="黑体" w:eastAsia="黑体" w:cs="宋体"/>
                <w:color w:val="000000"/>
                <w:sz w:val="28"/>
                <w:szCs w:val="21"/>
                <w:highlight w:val="yellow"/>
              </w:rPr>
              <w:t xml:space="preserve">五、健康体检 </w:t>
            </w:r>
            <w:r>
              <w:rPr>
                <w:rFonts w:hint="eastAsia" w:ascii="黑体" w:hAnsi="黑体" w:eastAsia="黑体" w:cs="宋体"/>
                <w:bCs/>
                <w:color w:val="000000"/>
                <w:sz w:val="28"/>
                <w:szCs w:val="24"/>
              </w:rPr>
              <w:t>(※项不符合要求该项不得分) 共60分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417"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8079" w:type="dxa"/>
            <w:gridSpan w:val="5"/>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检查内容和方法</w:t>
            </w:r>
          </w:p>
        </w:tc>
        <w:tc>
          <w:tcPr>
            <w:tcW w:w="368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711"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1417" w:type="dxa"/>
            <w:gridSpan w:val="2"/>
            <w:tcBorders>
              <w:tl2br w:val="nil"/>
              <w:tr2bl w:val="nil"/>
            </w:tcBorders>
            <w:vAlign w:val="center"/>
          </w:tcPr>
          <w:p>
            <w:pPr>
              <w:spacing w:line="260" w:lineRule="exact"/>
              <w:rPr>
                <w:rFonts w:ascii="宋体" w:hAnsi="宋体"/>
                <w:color w:val="000000"/>
                <w:szCs w:val="21"/>
              </w:rPr>
            </w:pPr>
            <w:r>
              <w:rPr>
                <w:rFonts w:hint="eastAsia" w:ascii="宋体" w:hAnsi="宋体" w:cs="宋体"/>
                <w:b/>
                <w:bCs/>
                <w:color w:val="000000"/>
                <w:szCs w:val="21"/>
              </w:rPr>
              <w:t>1.资质管理</w:t>
            </w:r>
          </w:p>
        </w:tc>
        <w:tc>
          <w:tcPr>
            <w:tcW w:w="8079" w:type="dxa"/>
            <w:gridSpan w:val="5"/>
            <w:tcBorders>
              <w:tl2br w:val="nil"/>
              <w:tr2bl w:val="nil"/>
            </w:tcBorders>
            <w:vAlign w:val="center"/>
          </w:tcPr>
          <w:p>
            <w:pPr>
              <w:spacing w:line="260" w:lineRule="exact"/>
              <w:rPr>
                <w:rFonts w:ascii="宋体" w:hAnsi="宋体"/>
                <w:color w:val="000000"/>
                <w:szCs w:val="21"/>
              </w:rPr>
            </w:pPr>
            <w:r>
              <w:rPr>
                <w:rFonts w:hint="eastAsia" w:ascii="宋体" w:hAnsi="宋体"/>
                <w:color w:val="000000"/>
                <w:szCs w:val="21"/>
              </w:rPr>
              <w:t>1.查看《医疗机构执业许可证》副本备注栏是否有“健康体检”项目登记并加盖登记机关印章(</w:t>
            </w:r>
            <w:r>
              <w:rPr>
                <w:rFonts w:hint="eastAsia" w:ascii="宋体" w:hAnsi="宋体"/>
                <w:b/>
                <w:color w:val="000000"/>
                <w:szCs w:val="21"/>
              </w:rPr>
              <w:t>※</w:t>
            </w:r>
            <w:r>
              <w:rPr>
                <w:rFonts w:hint="eastAsia" w:ascii="宋体" w:hAnsi="宋体"/>
                <w:color w:val="000000"/>
                <w:szCs w:val="21"/>
              </w:rPr>
              <w:t>)。</w:t>
            </w:r>
          </w:p>
          <w:p>
            <w:pPr>
              <w:spacing w:line="260" w:lineRule="exact"/>
              <w:rPr>
                <w:rFonts w:ascii="宋体" w:hAnsi="宋体"/>
                <w:color w:val="000000"/>
                <w:szCs w:val="21"/>
              </w:rPr>
            </w:pPr>
            <w:r>
              <w:rPr>
                <w:rFonts w:hint="eastAsia" w:ascii="宋体" w:hAnsi="宋体"/>
                <w:color w:val="000000"/>
                <w:szCs w:val="21"/>
              </w:rPr>
              <w:t>2.查看《健康体检项目目录》是否向登记机关备案(5)。</w:t>
            </w:r>
          </w:p>
          <w:p>
            <w:pPr>
              <w:spacing w:line="260" w:lineRule="exact"/>
              <w:rPr>
                <w:rFonts w:ascii="宋体" w:hAnsi="宋体"/>
                <w:color w:val="000000"/>
                <w:szCs w:val="21"/>
              </w:rPr>
            </w:pPr>
            <w:r>
              <w:rPr>
                <w:rFonts w:hint="eastAsia" w:ascii="宋体" w:hAnsi="宋体"/>
                <w:color w:val="000000"/>
                <w:szCs w:val="21"/>
              </w:rPr>
              <w:t>3.现场查看开展的体检项目是否与备案的一致(5)。</w:t>
            </w:r>
          </w:p>
          <w:p>
            <w:pPr>
              <w:spacing w:line="260" w:lineRule="exact"/>
              <w:rPr>
                <w:rFonts w:ascii="宋体" w:hAnsi="宋体"/>
                <w:color w:val="000000"/>
                <w:szCs w:val="21"/>
              </w:rPr>
            </w:pPr>
            <w:r>
              <w:rPr>
                <w:rFonts w:hint="eastAsia" w:ascii="宋体" w:hAnsi="宋体"/>
                <w:color w:val="000000"/>
                <w:szCs w:val="21"/>
              </w:rPr>
              <w:t>4.查看开展外出健康体检向登记机关的备案材料(5)。</w:t>
            </w:r>
          </w:p>
        </w:tc>
        <w:tc>
          <w:tcPr>
            <w:tcW w:w="3685" w:type="dxa"/>
            <w:gridSpan w:val="3"/>
            <w:tcBorders>
              <w:tl2br w:val="nil"/>
              <w:tr2bl w:val="nil"/>
            </w:tcBorders>
            <w:vAlign w:val="center"/>
          </w:tcPr>
          <w:p>
            <w:pPr>
              <w:spacing w:line="260" w:lineRule="exact"/>
              <w:rPr>
                <w:rFonts w:ascii="宋体" w:hAnsi="宋体"/>
                <w:color w:val="000000"/>
                <w:szCs w:val="21"/>
              </w:rPr>
            </w:pPr>
            <w:r>
              <w:rPr>
                <w:rFonts w:hint="eastAsia" w:ascii="宋体" w:hAnsi="宋体" w:cs="宋体"/>
                <w:color w:val="000000"/>
                <w:szCs w:val="21"/>
              </w:rPr>
              <w:t>发现一项不符合要求的按实际分值扣分，扣完为止。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 xml:space="preserve">15 </w:t>
            </w:r>
          </w:p>
        </w:tc>
        <w:tc>
          <w:tcPr>
            <w:tcW w:w="709" w:type="dxa"/>
            <w:gridSpan w:val="2"/>
            <w:tcBorders>
              <w:tl2br w:val="nil"/>
              <w:tr2bl w:val="nil"/>
            </w:tcBorders>
            <w:vAlign w:val="center"/>
          </w:tcPr>
          <w:p>
            <w:pPr>
              <w:spacing w:line="260" w:lineRule="exact"/>
              <w:rPr>
                <w:rFonts w:ascii="宋体" w:hAnsi="宋体"/>
                <w:color w:val="000000"/>
                <w:szCs w:val="21"/>
              </w:rPr>
            </w:pPr>
          </w:p>
        </w:tc>
        <w:tc>
          <w:tcPr>
            <w:tcW w:w="711" w:type="dxa"/>
            <w:gridSpan w:val="2"/>
            <w:tcBorders>
              <w:tl2br w:val="nil"/>
              <w:tr2bl w:val="nil"/>
            </w:tcBorders>
            <w:vAlign w:val="center"/>
          </w:tcPr>
          <w:p>
            <w:pPr>
              <w:spacing w:line="2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jc w:val="center"/>
        </w:trPr>
        <w:tc>
          <w:tcPr>
            <w:tcW w:w="1417" w:type="dxa"/>
            <w:gridSpan w:val="2"/>
            <w:tcBorders>
              <w:tl2br w:val="nil"/>
              <w:tr2bl w:val="nil"/>
            </w:tcBorders>
            <w:vAlign w:val="center"/>
          </w:tcPr>
          <w:p>
            <w:pPr>
              <w:spacing w:line="260" w:lineRule="exact"/>
              <w:rPr>
                <w:rFonts w:ascii="宋体" w:hAnsi="宋体" w:cs="宋体"/>
                <w:color w:val="000000"/>
                <w:szCs w:val="21"/>
              </w:rPr>
            </w:pPr>
            <w:r>
              <w:rPr>
                <w:rFonts w:hint="eastAsia" w:ascii="宋体" w:hAnsi="宋体" w:cs="宋体"/>
                <w:b/>
                <w:bCs/>
                <w:color w:val="000000"/>
                <w:szCs w:val="21"/>
              </w:rPr>
              <w:t>2.质量管理</w:t>
            </w:r>
          </w:p>
        </w:tc>
        <w:tc>
          <w:tcPr>
            <w:tcW w:w="8079" w:type="dxa"/>
            <w:gridSpan w:val="5"/>
            <w:tcBorders>
              <w:tl2br w:val="nil"/>
              <w:tr2bl w:val="nil"/>
            </w:tcBorders>
            <w:vAlign w:val="center"/>
          </w:tcPr>
          <w:p>
            <w:pPr>
              <w:spacing w:line="260" w:lineRule="exact"/>
              <w:rPr>
                <w:rFonts w:ascii="宋体" w:hAnsi="宋体"/>
                <w:color w:val="000000"/>
                <w:szCs w:val="21"/>
              </w:rPr>
            </w:pPr>
            <w:r>
              <w:rPr>
                <w:rFonts w:hint="eastAsia" w:ascii="宋体" w:hAnsi="宋体"/>
                <w:color w:val="000000"/>
                <w:szCs w:val="21"/>
              </w:rPr>
              <w:t>1.查看相关文件资料。检查是否设立医疗质量管理工作小组或者指定专（兼）职人员。医疗质量安全规章制度是否齐全。实验室是否按规定进行室间质评及室内质控。</w:t>
            </w:r>
          </w:p>
          <w:p>
            <w:pPr>
              <w:spacing w:line="260" w:lineRule="exact"/>
              <w:rPr>
                <w:rFonts w:ascii="宋体" w:hAnsi="宋体"/>
                <w:color w:val="000000"/>
                <w:szCs w:val="21"/>
              </w:rPr>
            </w:pPr>
            <w:r>
              <w:rPr>
                <w:rFonts w:hint="eastAsia" w:ascii="宋体" w:hAnsi="宋体"/>
                <w:color w:val="000000"/>
                <w:szCs w:val="21"/>
              </w:rPr>
              <w:t>2. 现场查看、查阅相关执业人员资料。核查科室设置及执业人员、设备与开展的体检项目是否相适应。</w:t>
            </w:r>
          </w:p>
          <w:p>
            <w:pPr>
              <w:spacing w:line="260" w:lineRule="exact"/>
              <w:rPr>
                <w:rFonts w:ascii="宋体" w:hAnsi="宋体"/>
                <w:color w:val="000000"/>
                <w:szCs w:val="21"/>
              </w:rPr>
            </w:pPr>
            <w:r>
              <w:rPr>
                <w:rFonts w:hint="eastAsia" w:ascii="宋体" w:hAnsi="宋体"/>
                <w:color w:val="000000"/>
                <w:szCs w:val="21"/>
              </w:rPr>
              <w:t>3.开展的健康体检服务项目和价格是否进行公示。</w:t>
            </w:r>
          </w:p>
          <w:p>
            <w:pPr>
              <w:spacing w:line="260" w:lineRule="exact"/>
              <w:rPr>
                <w:rFonts w:ascii="宋体" w:hAnsi="宋体"/>
                <w:color w:val="000000"/>
                <w:szCs w:val="21"/>
              </w:rPr>
            </w:pPr>
            <w:r>
              <w:rPr>
                <w:rFonts w:hint="eastAsia" w:ascii="宋体" w:hAnsi="宋体"/>
                <w:color w:val="000000"/>
                <w:szCs w:val="21"/>
              </w:rPr>
              <w:t>4.现场抽查使用的某类试剂、耗材使用量与体检人数是否相符，核查是否有出具虚假或伪造体检报告现象(</w:t>
            </w:r>
            <w:r>
              <w:rPr>
                <w:rFonts w:hint="eastAsia" w:ascii="宋体" w:hAnsi="宋体" w:cs="宋体"/>
                <w:color w:val="000000"/>
                <w:szCs w:val="21"/>
              </w:rPr>
              <w:t>☆</w:t>
            </w:r>
            <w:r>
              <w:rPr>
                <w:rFonts w:hint="eastAsia" w:ascii="宋体" w:hAnsi="宋体"/>
                <w:color w:val="000000"/>
                <w:szCs w:val="21"/>
              </w:rPr>
              <w:t>)。</w:t>
            </w:r>
          </w:p>
          <w:p>
            <w:pPr>
              <w:spacing w:line="260" w:lineRule="exact"/>
              <w:rPr>
                <w:rFonts w:ascii="宋体" w:hAnsi="宋体"/>
                <w:color w:val="000000"/>
                <w:szCs w:val="21"/>
              </w:rPr>
            </w:pPr>
            <w:r>
              <w:rPr>
                <w:rFonts w:hint="eastAsia" w:ascii="宋体" w:hAnsi="宋体"/>
                <w:color w:val="000000"/>
                <w:szCs w:val="21"/>
              </w:rPr>
              <w:t>5.查看检验报告单、体检报告单，核查签名人员资质。</w:t>
            </w:r>
          </w:p>
        </w:tc>
        <w:tc>
          <w:tcPr>
            <w:tcW w:w="3685" w:type="dxa"/>
            <w:gridSpan w:val="3"/>
            <w:tcBorders>
              <w:tl2br w:val="nil"/>
              <w:tr2bl w:val="nil"/>
            </w:tcBorders>
            <w:vAlign w:val="center"/>
          </w:tcPr>
          <w:p>
            <w:pPr>
              <w:spacing w:line="260" w:lineRule="exact"/>
              <w:rPr>
                <w:rFonts w:ascii="宋体" w:hAnsi="宋体" w:cs="宋体"/>
                <w:color w:val="000000"/>
                <w:szCs w:val="21"/>
              </w:rPr>
            </w:pPr>
            <w:r>
              <w:rPr>
                <w:rFonts w:hint="eastAsia" w:ascii="宋体" w:hAnsi="宋体" w:cs="宋体"/>
                <w:color w:val="000000"/>
                <w:szCs w:val="21"/>
              </w:rPr>
              <w:t>发现一处不符合要求的扣</w:t>
            </w:r>
            <w:r>
              <w:rPr>
                <w:rFonts w:hint="eastAsia" w:ascii="宋体" w:hAnsi="宋体"/>
                <w:color w:val="000000"/>
                <w:szCs w:val="21"/>
              </w:rPr>
              <w:t>5</w:t>
            </w:r>
            <w:r>
              <w:rPr>
                <w:rFonts w:hint="eastAsia" w:ascii="宋体" w:hAnsi="宋体" w:cs="宋体"/>
                <w:color w:val="000000"/>
                <w:szCs w:val="21"/>
              </w:rPr>
              <w:t>分，扣完为止。</w:t>
            </w:r>
          </w:p>
          <w:p>
            <w:pPr>
              <w:spacing w:line="260" w:lineRule="exact"/>
              <w:rPr>
                <w:rFonts w:ascii="宋体" w:hAnsi="宋体" w:cs="宋体"/>
                <w:color w:val="000000"/>
                <w:szCs w:val="21"/>
              </w:rPr>
            </w:pPr>
          </w:p>
          <w:p>
            <w:pPr>
              <w:spacing w:line="260" w:lineRule="exact"/>
              <w:rPr>
                <w:rFonts w:ascii="宋体" w:hAnsi="宋体" w:cs="宋体"/>
                <w:color w:val="000000"/>
                <w:szCs w:val="21"/>
              </w:rPr>
            </w:pPr>
          </w:p>
          <w:p>
            <w:pPr>
              <w:spacing w:line="260" w:lineRule="exact"/>
              <w:rPr>
                <w:rFonts w:ascii="宋体" w:hAnsi="宋体" w:cs="宋体"/>
                <w:color w:val="000000"/>
                <w:szCs w:val="21"/>
              </w:rPr>
            </w:pPr>
            <w:r>
              <w:rPr>
                <w:rFonts w:hint="eastAsia" w:ascii="宋体" w:hAnsi="宋体" w:cs="宋体"/>
                <w:color w:val="000000"/>
                <w:szCs w:val="21"/>
              </w:rPr>
              <w:t>(☆项不符合要求该项不得分)</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35</w:t>
            </w:r>
          </w:p>
        </w:tc>
        <w:tc>
          <w:tcPr>
            <w:tcW w:w="709" w:type="dxa"/>
            <w:gridSpan w:val="2"/>
            <w:tcBorders>
              <w:tl2br w:val="nil"/>
              <w:tr2bl w:val="nil"/>
            </w:tcBorders>
            <w:vAlign w:val="center"/>
          </w:tcPr>
          <w:p>
            <w:pPr>
              <w:spacing w:line="260" w:lineRule="exact"/>
              <w:rPr>
                <w:rFonts w:ascii="宋体" w:hAnsi="宋体"/>
                <w:color w:val="000000"/>
                <w:szCs w:val="21"/>
              </w:rPr>
            </w:pPr>
          </w:p>
        </w:tc>
        <w:tc>
          <w:tcPr>
            <w:tcW w:w="711" w:type="dxa"/>
            <w:gridSpan w:val="2"/>
            <w:tcBorders>
              <w:tl2br w:val="nil"/>
              <w:tr2bl w:val="nil"/>
            </w:tcBorders>
            <w:vAlign w:val="center"/>
          </w:tcPr>
          <w:p>
            <w:pPr>
              <w:spacing w:line="2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417" w:type="dxa"/>
            <w:gridSpan w:val="2"/>
            <w:tcBorders>
              <w:tl2br w:val="nil"/>
              <w:tr2bl w:val="nil"/>
            </w:tcBorders>
            <w:vAlign w:val="center"/>
          </w:tcPr>
          <w:p>
            <w:pPr>
              <w:spacing w:line="260" w:lineRule="exact"/>
              <w:rPr>
                <w:rFonts w:ascii="宋体" w:hAnsi="宋体" w:cs="宋体"/>
                <w:color w:val="000000"/>
                <w:szCs w:val="21"/>
              </w:rPr>
            </w:pPr>
            <w:r>
              <w:rPr>
                <w:rFonts w:hint="eastAsia" w:ascii="宋体" w:hAnsi="宋体" w:cs="宋体"/>
                <w:b/>
                <w:bCs/>
                <w:color w:val="000000"/>
                <w:szCs w:val="21"/>
              </w:rPr>
              <w:t>3.医学文书</w:t>
            </w:r>
          </w:p>
        </w:tc>
        <w:tc>
          <w:tcPr>
            <w:tcW w:w="8079" w:type="dxa"/>
            <w:gridSpan w:val="5"/>
            <w:tcBorders>
              <w:tl2br w:val="nil"/>
              <w:tr2bl w:val="nil"/>
            </w:tcBorders>
          </w:tcPr>
          <w:p>
            <w:pPr>
              <w:spacing w:line="260" w:lineRule="exact"/>
              <w:rPr>
                <w:rFonts w:ascii="宋体" w:hAnsi="宋体"/>
                <w:color w:val="000000"/>
                <w:szCs w:val="21"/>
              </w:rPr>
            </w:pPr>
          </w:p>
          <w:p>
            <w:pPr>
              <w:spacing w:line="260" w:lineRule="exact"/>
              <w:rPr>
                <w:rFonts w:ascii="宋体" w:hAnsi="宋体"/>
                <w:color w:val="000000"/>
                <w:szCs w:val="21"/>
              </w:rPr>
            </w:pPr>
            <w:r>
              <w:rPr>
                <w:rFonts w:hint="eastAsia" w:ascii="宋体" w:hAnsi="宋体"/>
                <w:color w:val="000000"/>
                <w:szCs w:val="21"/>
              </w:rPr>
              <w:t>随机提取5份体检报告,查看体检报告内容及检查报告单等是否按照规范书写（医师签名）。</w:t>
            </w:r>
          </w:p>
        </w:tc>
        <w:tc>
          <w:tcPr>
            <w:tcW w:w="3685" w:type="dxa"/>
            <w:gridSpan w:val="3"/>
            <w:tcBorders>
              <w:tl2br w:val="nil"/>
              <w:tr2bl w:val="nil"/>
            </w:tcBorders>
            <w:vAlign w:val="center"/>
          </w:tcPr>
          <w:p>
            <w:pPr>
              <w:spacing w:line="260" w:lineRule="exact"/>
              <w:rPr>
                <w:rFonts w:ascii="宋体" w:hAnsi="宋体" w:cs="宋体"/>
                <w:color w:val="000000"/>
                <w:szCs w:val="21"/>
              </w:rPr>
            </w:pPr>
            <w:r>
              <w:rPr>
                <w:rFonts w:hint="eastAsia" w:ascii="宋体" w:hAnsi="宋体" w:cs="宋体"/>
                <w:color w:val="000000"/>
                <w:szCs w:val="21"/>
              </w:rPr>
              <w:t>发现一处不符合要求的扣</w:t>
            </w:r>
            <w:r>
              <w:rPr>
                <w:rFonts w:hint="eastAsia" w:ascii="宋体" w:hAnsi="宋体"/>
                <w:color w:val="000000"/>
                <w:szCs w:val="21"/>
              </w:rPr>
              <w:t>2</w:t>
            </w:r>
            <w:r>
              <w:rPr>
                <w:rFonts w:hint="eastAsia" w:ascii="宋体" w:hAnsi="宋体" w:cs="宋体"/>
                <w:color w:val="000000"/>
                <w:szCs w:val="21"/>
              </w:rPr>
              <w:t>分，扣完为止。</w:t>
            </w:r>
          </w:p>
        </w:tc>
        <w:tc>
          <w:tcPr>
            <w:tcW w:w="709" w:type="dxa"/>
            <w:gridSpan w:val="3"/>
            <w:tcBorders>
              <w:tl2br w:val="nil"/>
              <w:tr2bl w:val="nil"/>
            </w:tcBorders>
            <w:vAlign w:val="center"/>
          </w:tcPr>
          <w:p>
            <w:pPr>
              <w:spacing w:line="280" w:lineRule="exact"/>
              <w:jc w:val="center"/>
              <w:rPr>
                <w:rFonts w:ascii="宋体" w:hAnsi="宋体" w:cs="宋体"/>
                <w:color w:val="000000"/>
                <w:szCs w:val="21"/>
              </w:rPr>
            </w:pPr>
            <w:r>
              <w:rPr>
                <w:rFonts w:hint="eastAsia" w:ascii="宋体" w:hAnsi="宋体" w:cs="宋体"/>
                <w:color w:val="000000"/>
                <w:szCs w:val="21"/>
              </w:rPr>
              <w:t>10</w:t>
            </w:r>
          </w:p>
        </w:tc>
        <w:tc>
          <w:tcPr>
            <w:tcW w:w="709" w:type="dxa"/>
            <w:gridSpan w:val="2"/>
            <w:tcBorders>
              <w:tl2br w:val="nil"/>
              <w:tr2bl w:val="nil"/>
            </w:tcBorders>
            <w:vAlign w:val="center"/>
          </w:tcPr>
          <w:p>
            <w:pPr>
              <w:spacing w:line="260" w:lineRule="exact"/>
              <w:rPr>
                <w:rFonts w:ascii="宋体" w:hAnsi="宋体"/>
                <w:color w:val="000000"/>
                <w:szCs w:val="21"/>
              </w:rPr>
            </w:pPr>
          </w:p>
        </w:tc>
        <w:tc>
          <w:tcPr>
            <w:tcW w:w="711" w:type="dxa"/>
            <w:gridSpan w:val="2"/>
            <w:tcBorders>
              <w:tl2br w:val="nil"/>
              <w:tr2bl w:val="nil"/>
            </w:tcBorders>
            <w:vAlign w:val="center"/>
          </w:tcPr>
          <w:p>
            <w:pPr>
              <w:spacing w:line="2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5310" w:type="dxa"/>
            <w:gridSpan w:val="17"/>
            <w:tcBorders>
              <w:tl2br w:val="nil"/>
              <w:tr2bl w:val="nil"/>
            </w:tcBorders>
            <w:vAlign w:val="center"/>
          </w:tcPr>
          <w:p>
            <w:pPr>
              <w:spacing w:line="500" w:lineRule="exact"/>
              <w:jc w:val="left"/>
              <w:rPr>
                <w:rFonts w:ascii="Times New Roman" w:hAnsi="Times New Roman" w:cs="宋体"/>
                <w:b/>
                <w:bCs/>
                <w:sz w:val="28"/>
                <w:szCs w:val="28"/>
              </w:rPr>
            </w:pPr>
            <w:r>
              <w:rPr>
                <w:rFonts w:hint="eastAsia" w:ascii="黑体" w:hAnsi="黑体" w:eastAsia="黑体" w:cs="宋体"/>
                <w:bCs/>
                <w:color w:val="000000"/>
                <w:sz w:val="28"/>
                <w:szCs w:val="28"/>
                <w:highlight w:val="yellow"/>
              </w:rPr>
              <w:t>六、产前筛查</w:t>
            </w:r>
            <w:r>
              <w:rPr>
                <w:rFonts w:hint="eastAsia" w:ascii="黑体" w:hAnsi="黑体" w:eastAsia="黑体" w:cs="宋体"/>
                <w:bCs/>
                <w:color w:val="000000"/>
                <w:sz w:val="28"/>
                <w:szCs w:val="28"/>
              </w:rPr>
              <w:t xml:space="preserve">  共120分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293" w:type="dxa"/>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3240" w:type="dxa"/>
            <w:gridSpan w:val="4"/>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检查内容</w:t>
            </w:r>
          </w:p>
        </w:tc>
        <w:tc>
          <w:tcPr>
            <w:tcW w:w="4846" w:type="dxa"/>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检查方法</w:t>
            </w:r>
          </w:p>
        </w:tc>
        <w:tc>
          <w:tcPr>
            <w:tcW w:w="3687"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715"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20" w:type="dxa"/>
            <w:gridSpan w:val="3"/>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4" w:hRule="atLeast"/>
          <w:jc w:val="center"/>
        </w:trPr>
        <w:tc>
          <w:tcPr>
            <w:tcW w:w="1293" w:type="dxa"/>
            <w:tcBorders>
              <w:tl2br w:val="nil"/>
              <w:tr2bl w:val="nil"/>
            </w:tcBorders>
            <w:vAlign w:val="center"/>
          </w:tcPr>
          <w:p>
            <w:pPr>
              <w:spacing w:line="280" w:lineRule="exact"/>
              <w:jc w:val="left"/>
              <w:rPr>
                <w:rFonts w:ascii="Times New Roman" w:hAnsi="Times New Roman"/>
                <w:b/>
                <w:bCs/>
              </w:rPr>
            </w:pPr>
            <w:r>
              <w:rPr>
                <w:rFonts w:hint="eastAsia" w:ascii="Times New Roman" w:hAnsi="Times New Roman"/>
                <w:b/>
                <w:bCs/>
              </w:rPr>
              <w:t>机构资质</w:t>
            </w:r>
          </w:p>
        </w:tc>
        <w:tc>
          <w:tcPr>
            <w:tcW w:w="3240" w:type="dxa"/>
            <w:gridSpan w:val="4"/>
            <w:tcBorders>
              <w:tl2br w:val="nil"/>
              <w:tr2bl w:val="nil"/>
            </w:tcBorders>
            <w:vAlign w:val="center"/>
          </w:tcPr>
          <w:p>
            <w:pPr>
              <w:jc w:val="left"/>
              <w:rPr>
                <w:rFonts w:ascii="宋体" w:hAnsi="宋体" w:cs="仿宋"/>
                <w:szCs w:val="21"/>
              </w:rPr>
            </w:pPr>
            <w:r>
              <w:rPr>
                <w:rFonts w:hint="eastAsia" w:ascii="宋体" w:hAnsi="宋体" w:cs="仿宋"/>
                <w:szCs w:val="21"/>
              </w:rPr>
              <w:t>1.取得有效《母婴保健技术服务执业许可证》并按规定校验；</w:t>
            </w:r>
          </w:p>
          <w:p>
            <w:pPr>
              <w:jc w:val="left"/>
              <w:rPr>
                <w:rFonts w:asciiTheme="minorEastAsia" w:hAnsiTheme="minorEastAsia" w:eastAsiaTheme="minorEastAsia" w:cstheme="minorEastAsia"/>
                <w:szCs w:val="21"/>
              </w:rPr>
            </w:pPr>
            <w:r>
              <w:rPr>
                <w:rFonts w:hint="eastAsia" w:ascii="宋体" w:hAnsi="宋体" w:cs="仿宋"/>
                <w:szCs w:val="21"/>
              </w:rPr>
              <w:t>2.</w:t>
            </w:r>
            <w:r>
              <w:rPr>
                <w:rFonts w:hint="eastAsia" w:asciiTheme="minorEastAsia" w:hAnsiTheme="minorEastAsia" w:eastAsiaTheme="minorEastAsia" w:cstheme="minorEastAsia"/>
                <w:kern w:val="0"/>
                <w:szCs w:val="21"/>
              </w:rPr>
              <w:t>实际开展的产前诊断技术项目</w:t>
            </w:r>
            <w:r>
              <w:rPr>
                <w:rFonts w:hint="eastAsia" w:asciiTheme="minorEastAsia" w:hAnsiTheme="minorEastAsia" w:eastAsiaTheme="minorEastAsia" w:cstheme="minorEastAsia"/>
                <w:szCs w:val="21"/>
              </w:rPr>
              <w:t>与《母婴保健技术服务执业许可证》核准项目相符；</w:t>
            </w:r>
          </w:p>
          <w:p>
            <w:pPr>
              <w:jc w:val="left"/>
              <w:rPr>
                <w:rFonts w:ascii="宋体" w:hAnsi="宋体" w:cs="仿宋"/>
                <w:szCs w:val="21"/>
              </w:rPr>
            </w:pPr>
            <w:r>
              <w:rPr>
                <w:rFonts w:hint="eastAsia" w:ascii="宋体" w:hAnsi="宋体" w:cs="仿宋"/>
                <w:szCs w:val="21"/>
              </w:rPr>
              <w:t>3.医疗保健机构应当把《母婴保健技术服务执业许可证》悬挂在明显处所；</w:t>
            </w:r>
          </w:p>
          <w:p>
            <w:pPr>
              <w:jc w:val="left"/>
              <w:rPr>
                <w:rFonts w:ascii="宋体" w:hAnsi="宋体" w:cs="仿宋"/>
                <w:szCs w:val="21"/>
              </w:rPr>
            </w:pPr>
            <w:r>
              <w:rPr>
                <w:rFonts w:hint="eastAsia" w:ascii="宋体" w:hAnsi="宋体" w:cs="仿宋"/>
                <w:szCs w:val="21"/>
              </w:rPr>
              <w:t>5.开展孕妇唐氏筛查抽血、检验的医疗机构应为产前筛查机构或是河南省民生实事确认的免费筛查机构（附表）；</w:t>
            </w:r>
          </w:p>
          <w:p>
            <w:pPr>
              <w:tabs>
                <w:tab w:val="left" w:pos="312"/>
              </w:tabs>
              <w:jc w:val="left"/>
              <w:rPr>
                <w:rFonts w:ascii="宋体" w:hAnsi="宋体"/>
                <w:szCs w:val="21"/>
              </w:rPr>
            </w:pPr>
          </w:p>
        </w:tc>
        <w:tc>
          <w:tcPr>
            <w:tcW w:w="4846" w:type="dxa"/>
            <w:tcBorders>
              <w:tl2br w:val="nil"/>
              <w:tr2bl w:val="nil"/>
            </w:tcBorders>
            <w:vAlign w:val="center"/>
          </w:tcPr>
          <w:p>
            <w:pPr>
              <w:widowControl/>
              <w:rPr>
                <w:rFonts w:asciiTheme="minorEastAsia" w:hAnsiTheme="minorEastAsia" w:eastAsiaTheme="minorEastAsia" w:cstheme="minorEastAsia"/>
                <w:szCs w:val="21"/>
              </w:rPr>
            </w:pPr>
            <w:r>
              <w:rPr>
                <w:rFonts w:hint="eastAsia" w:ascii="宋体" w:hAnsi="宋体" w:cs="仿宋"/>
                <w:szCs w:val="21"/>
              </w:rPr>
              <w:t>1.查看《母婴保健技术服务执业许可证》正本、副本，合法有效并在有效期内，</w:t>
            </w:r>
            <w:r>
              <w:rPr>
                <w:rFonts w:hint="eastAsia" w:asciiTheme="minorEastAsia" w:hAnsiTheme="minorEastAsia" w:eastAsiaTheme="minorEastAsia" w:cstheme="minorEastAsia"/>
                <w:kern w:val="0"/>
                <w:szCs w:val="21"/>
              </w:rPr>
              <w:t>开展产前诊断技术的《母婴保健技术服务执业许可证》每三年校验一次；</w:t>
            </w:r>
          </w:p>
          <w:p>
            <w:pPr>
              <w:rPr>
                <w:rFonts w:ascii="宋体" w:hAnsi="宋体" w:cs="仿宋"/>
                <w:szCs w:val="21"/>
              </w:rPr>
            </w:pPr>
            <w:r>
              <w:rPr>
                <w:rFonts w:hint="eastAsia" w:ascii="宋体" w:hAnsi="宋体" w:cs="仿宋"/>
                <w:szCs w:val="21"/>
              </w:rPr>
              <w:t>2.医疗机构执业地点与《母婴保健技术服务执业许可证》载明地址一致。</w:t>
            </w:r>
          </w:p>
          <w:p>
            <w:pPr>
              <w:rPr>
                <w:rFonts w:ascii="宋体" w:hAnsi="宋体" w:cs="仿宋"/>
                <w:szCs w:val="21"/>
              </w:rPr>
            </w:pPr>
            <w:r>
              <w:rPr>
                <w:rFonts w:hint="eastAsia" w:ascii="宋体" w:hAnsi="宋体" w:cs="仿宋"/>
                <w:szCs w:val="21"/>
              </w:rPr>
              <w:t>3.查看机构是否有产前筛查类《母婴保健技术服务执业许可证》。</w:t>
            </w:r>
          </w:p>
          <w:p>
            <w:pPr>
              <w:rPr>
                <w:rFonts w:ascii="宋体" w:hAnsi="宋体" w:cs="仿宋"/>
                <w:szCs w:val="21"/>
              </w:rPr>
            </w:pPr>
            <w:r>
              <w:rPr>
                <w:rFonts w:hint="eastAsia" w:ascii="宋体" w:hAnsi="宋体" w:cs="仿宋"/>
                <w:szCs w:val="21"/>
              </w:rPr>
              <w:t>4.是否属于省民生实事确认的免费筛查机构。</w:t>
            </w:r>
          </w:p>
          <w:p>
            <w:pPr>
              <w:rPr>
                <w:rFonts w:ascii="宋体" w:hAnsi="宋体" w:cs="仿宋"/>
                <w:szCs w:val="21"/>
              </w:rPr>
            </w:pPr>
            <w:r>
              <w:rPr>
                <w:rFonts w:hint="eastAsia" w:ascii="宋体" w:hAnsi="宋体"/>
                <w:szCs w:val="21"/>
              </w:rPr>
              <w:t>5.从事产前筛查（唐氏）的医疗保健机构必须保障筛查阳性病例的后续诊治服务，查看与产前诊断机构签署的工作合同，是否向卫生健康行政部门备案。</w:t>
            </w:r>
          </w:p>
          <w:p>
            <w:pPr>
              <w:tabs>
                <w:tab w:val="left" w:pos="312"/>
              </w:tabs>
              <w:rPr>
                <w:rFonts w:ascii="宋体" w:hAnsi="宋体" w:cs="仿宋"/>
                <w:szCs w:val="21"/>
              </w:rPr>
            </w:pPr>
            <w:r>
              <w:rPr>
                <w:rFonts w:hint="eastAsia" w:ascii="宋体" w:hAnsi="宋体" w:cs="仿宋"/>
                <w:szCs w:val="21"/>
              </w:rPr>
              <w:t>6.查看开展无创DNA产前筛查</w:t>
            </w:r>
            <w:r>
              <w:rPr>
                <w:rFonts w:hint="eastAsia" w:ascii="宋体" w:hAnsi="宋体" w:cs="仿宋"/>
                <w:b/>
                <w:bCs/>
                <w:szCs w:val="21"/>
              </w:rPr>
              <w:t>采血</w:t>
            </w:r>
            <w:r>
              <w:rPr>
                <w:rFonts w:hint="eastAsia" w:ascii="宋体" w:hAnsi="宋体" w:cs="仿宋"/>
                <w:szCs w:val="21"/>
              </w:rPr>
              <w:t>的医疗机构是否是产前筛查机构，并与产前诊断机构建立合作关系并向省级卫生健康行政部门备案。</w:t>
            </w:r>
          </w:p>
          <w:p>
            <w:pPr>
              <w:rPr>
                <w:rFonts w:ascii="宋体" w:hAnsi="宋体" w:cs="仿宋"/>
                <w:szCs w:val="21"/>
              </w:rPr>
            </w:pPr>
            <w:r>
              <w:rPr>
                <w:rFonts w:hint="eastAsia" w:ascii="宋体" w:hAnsi="宋体"/>
                <w:szCs w:val="21"/>
              </w:rPr>
              <w:t>7.随机抽查病历10份；查看有无未取得产前筛查资质开展无创DNA抽血、检测、遗传病诊断、产前诊断的；查看有无只取得产前筛查技术服务开展无创DNA检测、遗传病诊断、产前诊断的。</w:t>
            </w:r>
          </w:p>
        </w:tc>
        <w:tc>
          <w:tcPr>
            <w:tcW w:w="3687" w:type="dxa"/>
            <w:gridSpan w:val="3"/>
            <w:tcBorders>
              <w:tl2br w:val="nil"/>
              <w:tr2bl w:val="nil"/>
            </w:tcBorders>
            <w:vAlign w:val="center"/>
          </w:tcPr>
          <w:p>
            <w:pPr>
              <w:spacing w:line="300" w:lineRule="exact"/>
              <w:jc w:val="left"/>
              <w:rPr>
                <w:rFonts w:ascii="宋体" w:hAnsi="宋体" w:cs="仿宋"/>
                <w:szCs w:val="21"/>
              </w:rPr>
            </w:pPr>
            <w:r>
              <w:rPr>
                <w:rFonts w:hint="eastAsia" w:ascii="宋体" w:hAnsi="宋体" w:cs="仿宋"/>
                <w:szCs w:val="21"/>
              </w:rPr>
              <w:t>1.未取得《母婴保健技术服务执业许可证》不进行评分。</w:t>
            </w:r>
          </w:p>
          <w:p>
            <w:pPr>
              <w:spacing w:line="300" w:lineRule="exact"/>
              <w:jc w:val="left"/>
              <w:rPr>
                <w:rFonts w:ascii="宋体" w:hAnsi="宋体" w:cs="仿宋"/>
                <w:szCs w:val="21"/>
              </w:rPr>
            </w:pPr>
            <w:r>
              <w:rPr>
                <w:rFonts w:hint="eastAsia" w:ascii="宋体" w:hAnsi="宋体" w:cs="仿宋"/>
                <w:szCs w:val="21"/>
              </w:rPr>
              <w:t>2.《母婴保健技术服务执业许可证》未在有效期内，此项0分。</w:t>
            </w:r>
          </w:p>
          <w:p>
            <w:pPr>
              <w:spacing w:line="300" w:lineRule="exact"/>
              <w:jc w:val="left"/>
              <w:rPr>
                <w:rFonts w:ascii="宋体" w:hAnsi="宋体" w:cs="仿宋"/>
                <w:szCs w:val="21"/>
              </w:rPr>
            </w:pPr>
            <w:r>
              <w:rPr>
                <w:rFonts w:hint="eastAsia" w:ascii="宋体" w:hAnsi="宋体" w:cs="仿宋"/>
                <w:szCs w:val="21"/>
              </w:rPr>
              <w:t>3.使用名称与核准名称不相符扣3分。</w:t>
            </w:r>
          </w:p>
          <w:p>
            <w:pPr>
              <w:spacing w:line="300" w:lineRule="exact"/>
              <w:jc w:val="left"/>
              <w:rPr>
                <w:rFonts w:ascii="宋体" w:hAnsi="宋体" w:cs="仿宋"/>
                <w:szCs w:val="21"/>
              </w:rPr>
            </w:pPr>
            <w:r>
              <w:rPr>
                <w:rFonts w:hint="eastAsia" w:ascii="宋体" w:hAnsi="宋体" w:cs="仿宋"/>
                <w:szCs w:val="21"/>
              </w:rPr>
              <w:t>4.未及时办理变更手续，发现一项扣2分，扣完为止。</w:t>
            </w:r>
          </w:p>
          <w:p>
            <w:pPr>
              <w:spacing w:line="300" w:lineRule="exact"/>
              <w:jc w:val="left"/>
              <w:rPr>
                <w:rFonts w:ascii="宋体" w:hAnsi="宋体"/>
                <w:snapToGrid w:val="0"/>
                <w:kern w:val="0"/>
                <w:szCs w:val="21"/>
              </w:rPr>
            </w:pPr>
            <w:r>
              <w:rPr>
                <w:rFonts w:hint="eastAsia" w:ascii="宋体" w:hAnsi="宋体"/>
                <w:snapToGrid w:val="0"/>
                <w:kern w:val="0"/>
                <w:szCs w:val="21"/>
              </w:rPr>
              <w:t>5.未在明显处所悬挂</w:t>
            </w:r>
            <w:r>
              <w:rPr>
                <w:rFonts w:hint="eastAsia" w:ascii="宋体" w:hAnsi="宋体" w:cs="仿宋"/>
                <w:szCs w:val="21"/>
              </w:rPr>
              <w:t>《母婴保健技术服务执业许可证》扣3分；</w:t>
            </w:r>
          </w:p>
          <w:p>
            <w:pPr>
              <w:tabs>
                <w:tab w:val="left" w:pos="312"/>
              </w:tabs>
              <w:spacing w:line="300" w:lineRule="exact"/>
              <w:jc w:val="left"/>
              <w:rPr>
                <w:rFonts w:ascii="宋体" w:hAnsi="宋体"/>
                <w:szCs w:val="21"/>
              </w:rPr>
            </w:pPr>
            <w:r>
              <w:rPr>
                <w:rFonts w:hint="eastAsia" w:ascii="宋体" w:hAnsi="宋体" w:cs="仿宋"/>
                <w:szCs w:val="21"/>
              </w:rPr>
              <w:t>6.未取得产前筛查或产前诊断《母婴保健技术服务执业许可证》擅自开展唐氏筛查的扣20分。</w:t>
            </w:r>
          </w:p>
          <w:p>
            <w:pPr>
              <w:spacing w:line="300" w:lineRule="exact"/>
              <w:jc w:val="left"/>
              <w:rPr>
                <w:rFonts w:ascii="宋体" w:hAnsi="宋体" w:cs="仿宋"/>
                <w:szCs w:val="21"/>
              </w:rPr>
            </w:pPr>
            <w:r>
              <w:rPr>
                <w:rFonts w:hint="eastAsia" w:ascii="宋体" w:hAnsi="宋体"/>
                <w:szCs w:val="21"/>
              </w:rPr>
              <w:t>7.产前筛查（唐氏）的医疗保健机构必须保障筛查阳性病例的后续诊治服务。未建立合作关系无合同的</w:t>
            </w:r>
            <w:r>
              <w:rPr>
                <w:rFonts w:hint="eastAsia" w:ascii="宋体" w:hAnsi="宋体"/>
                <w:kern w:val="0"/>
                <w:szCs w:val="21"/>
              </w:rPr>
              <w:t>扣5分；合同不完善的扣2分；未备案的扣2分；</w:t>
            </w:r>
          </w:p>
          <w:p>
            <w:pPr>
              <w:spacing w:line="300" w:lineRule="exact"/>
              <w:jc w:val="left"/>
              <w:rPr>
                <w:rFonts w:ascii="宋体" w:hAnsi="宋体" w:cs="仿宋"/>
                <w:szCs w:val="21"/>
              </w:rPr>
            </w:pPr>
            <w:r>
              <w:rPr>
                <w:rFonts w:hint="eastAsia" w:ascii="宋体" w:hAnsi="宋体" w:cs="仿宋"/>
                <w:szCs w:val="21"/>
              </w:rPr>
              <w:t>8.未取得产前筛查或产前诊断《母婴保健技术服务执业许可证》无创DNA采血产前筛查的扣20分。</w:t>
            </w:r>
          </w:p>
          <w:p>
            <w:pPr>
              <w:spacing w:line="300" w:lineRule="exact"/>
              <w:jc w:val="left"/>
              <w:rPr>
                <w:rFonts w:ascii="宋体" w:hAnsi="宋体"/>
                <w:szCs w:val="21"/>
              </w:rPr>
            </w:pPr>
            <w:r>
              <w:rPr>
                <w:rFonts w:hint="eastAsia" w:ascii="宋体" w:hAnsi="宋体"/>
                <w:szCs w:val="21"/>
              </w:rPr>
              <w:t>9.只取得产前筛查技术服务开展无创DNA检测、遗传病诊断、产前诊断等其它技术的扣20分。</w:t>
            </w:r>
          </w:p>
          <w:p>
            <w:pPr>
              <w:spacing w:line="300" w:lineRule="exact"/>
              <w:jc w:val="left"/>
              <w:rPr>
                <w:rFonts w:ascii="宋体" w:hAnsi="宋体"/>
                <w:szCs w:val="21"/>
              </w:rPr>
            </w:pPr>
            <w:r>
              <w:rPr>
                <w:rFonts w:hint="eastAsia" w:ascii="宋体" w:hAnsi="宋体" w:cs="仿宋"/>
                <w:szCs w:val="21"/>
              </w:rPr>
              <w:t>10.开展无创DNA产前筛查</w:t>
            </w:r>
            <w:r>
              <w:rPr>
                <w:rFonts w:hint="eastAsia" w:ascii="宋体" w:hAnsi="宋体" w:cs="仿宋"/>
                <w:b/>
                <w:bCs/>
                <w:szCs w:val="21"/>
              </w:rPr>
              <w:t>采血</w:t>
            </w:r>
            <w:r>
              <w:rPr>
                <w:rFonts w:hint="eastAsia" w:ascii="宋体" w:hAnsi="宋体" w:cs="仿宋"/>
                <w:szCs w:val="21"/>
              </w:rPr>
              <w:t>的产前筛查机构与产前诊断机构建立合作关系未向省级卫生健康行政部门备案的，扣3分。</w:t>
            </w:r>
          </w:p>
        </w:tc>
        <w:tc>
          <w:tcPr>
            <w:tcW w:w="709" w:type="dxa"/>
            <w:gridSpan w:val="2"/>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50</w:t>
            </w:r>
          </w:p>
        </w:tc>
        <w:tc>
          <w:tcPr>
            <w:tcW w:w="715" w:type="dxa"/>
            <w:gridSpan w:val="3"/>
            <w:tcBorders>
              <w:tl2br w:val="nil"/>
              <w:tr2bl w:val="nil"/>
            </w:tcBorders>
            <w:vAlign w:val="center"/>
          </w:tcPr>
          <w:p>
            <w:pPr>
              <w:spacing w:line="240" w:lineRule="exact"/>
              <w:jc w:val="center"/>
              <w:rPr>
                <w:rFonts w:ascii="Times New Roman" w:hAnsi="Times New Roman" w:cs="宋体"/>
                <w:b/>
                <w:bCs/>
                <w:color w:val="000000"/>
              </w:rPr>
            </w:pPr>
          </w:p>
        </w:tc>
        <w:tc>
          <w:tcPr>
            <w:tcW w:w="820" w:type="dxa"/>
            <w:gridSpan w:val="3"/>
            <w:tcBorders>
              <w:tl2br w:val="nil"/>
              <w:tr2bl w:val="nil"/>
            </w:tcBorders>
            <w:vAlign w:val="center"/>
          </w:tcPr>
          <w:p>
            <w:pPr>
              <w:spacing w:line="240" w:lineRule="exact"/>
              <w:jc w:val="center"/>
              <w:rPr>
                <w:rFonts w:ascii="Times New Roman" w:hAnsi="Times New Roman"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93" w:type="dxa"/>
            <w:tcBorders>
              <w:tl2br w:val="nil"/>
              <w:tr2bl w:val="nil"/>
            </w:tcBorders>
            <w:vAlign w:val="center"/>
          </w:tcPr>
          <w:p>
            <w:pPr>
              <w:spacing w:line="280" w:lineRule="exact"/>
              <w:jc w:val="left"/>
              <w:rPr>
                <w:rFonts w:ascii="Times New Roman" w:hAnsi="Times New Roman"/>
                <w:b/>
                <w:bCs/>
                <w:color w:val="000000"/>
              </w:rPr>
            </w:pPr>
            <w:r>
              <w:rPr>
                <w:rFonts w:hint="eastAsia" w:ascii="Times New Roman" w:hAnsi="Times New Roman"/>
                <w:b/>
                <w:bCs/>
                <w:color w:val="000000"/>
              </w:rPr>
              <w:t>人员资质</w:t>
            </w:r>
          </w:p>
        </w:tc>
        <w:tc>
          <w:tcPr>
            <w:tcW w:w="3240" w:type="dxa"/>
            <w:gridSpan w:val="4"/>
            <w:tcBorders>
              <w:tl2br w:val="nil"/>
              <w:tr2bl w:val="nil"/>
            </w:tcBorders>
            <w:vAlign w:val="center"/>
          </w:tcPr>
          <w:p>
            <w:pPr>
              <w:widowControl/>
              <w:shd w:val="clear" w:color="auto" w:fill="FFFFFF"/>
              <w:adjustRightInd w:val="0"/>
              <w:snapToGrid w:val="0"/>
              <w:spacing w:line="360" w:lineRule="auto"/>
              <w:jc w:val="left"/>
              <w:rPr>
                <w:rFonts w:ascii="宋体" w:hAnsi="宋体" w:cs="仿宋"/>
                <w:szCs w:val="21"/>
              </w:rPr>
            </w:pPr>
            <w:r>
              <w:rPr>
                <w:rFonts w:hint="eastAsia" w:ascii="宋体" w:hAnsi="宋体" w:cs="仿宋"/>
                <w:szCs w:val="21"/>
              </w:rPr>
              <w:t>(一) 从事临床工作的，应取得执业医师资格；</w:t>
            </w:r>
          </w:p>
          <w:p>
            <w:pPr>
              <w:widowControl/>
              <w:shd w:val="clear" w:color="auto" w:fill="FFFFFF"/>
              <w:adjustRightInd w:val="0"/>
              <w:snapToGrid w:val="0"/>
              <w:spacing w:line="360" w:lineRule="auto"/>
              <w:jc w:val="left"/>
              <w:rPr>
                <w:rFonts w:ascii="宋体" w:hAnsi="宋体" w:cs="仿宋"/>
                <w:szCs w:val="21"/>
              </w:rPr>
            </w:pPr>
            <w:r>
              <w:rPr>
                <w:rFonts w:hint="eastAsia" w:ascii="宋体" w:hAnsi="宋体" w:cs="仿宋"/>
                <w:szCs w:val="21"/>
              </w:rPr>
              <w:t>(二) 从事医技和辅助工作的，应取得相应卫生专业技术职称；</w:t>
            </w:r>
          </w:p>
          <w:p>
            <w:pPr>
              <w:widowControl/>
              <w:shd w:val="clear" w:color="auto" w:fill="FFFFFF"/>
              <w:adjustRightInd w:val="0"/>
              <w:snapToGrid w:val="0"/>
              <w:spacing w:line="360" w:lineRule="auto"/>
              <w:jc w:val="left"/>
              <w:rPr>
                <w:rFonts w:ascii="宋体" w:hAnsi="宋体" w:cs="仿宋"/>
                <w:szCs w:val="21"/>
              </w:rPr>
            </w:pPr>
            <w:r>
              <w:rPr>
                <w:rFonts w:hint="eastAsia" w:ascii="宋体" w:hAnsi="宋体" w:cs="仿宋"/>
                <w:szCs w:val="21"/>
              </w:rPr>
              <w:t>(三) 符合《从事产前诊断卫生专业技术人员的基本条件》；</w:t>
            </w:r>
          </w:p>
          <w:p>
            <w:pPr>
              <w:widowControl/>
              <w:shd w:val="clear" w:color="auto" w:fill="FFFFFF"/>
              <w:adjustRightInd w:val="0"/>
              <w:snapToGrid w:val="0"/>
              <w:spacing w:line="360" w:lineRule="auto"/>
              <w:jc w:val="left"/>
              <w:rPr>
                <w:rFonts w:ascii="宋体" w:hAnsi="宋体" w:cs="仿宋"/>
                <w:szCs w:val="21"/>
              </w:rPr>
            </w:pPr>
            <w:r>
              <w:rPr>
                <w:rFonts w:hint="eastAsia" w:ascii="宋体" w:hAnsi="宋体" w:cs="仿宋"/>
                <w:szCs w:val="21"/>
              </w:rPr>
              <w:t>(四) 经省级卫生健康主管部门考核合格，取得从事产前诊断的《母婴保健技术考核合格证书》或者《医师执业证书》中加注母婴保健技术（产前诊断类）考核合格的。</w:t>
            </w:r>
          </w:p>
        </w:tc>
        <w:tc>
          <w:tcPr>
            <w:tcW w:w="4846" w:type="dxa"/>
            <w:tcBorders>
              <w:tl2br w:val="nil"/>
              <w:tr2bl w:val="nil"/>
            </w:tcBorders>
            <w:vAlign w:val="center"/>
          </w:tcPr>
          <w:p>
            <w:pPr>
              <w:jc w:val="left"/>
              <w:rPr>
                <w:rFonts w:ascii="宋体" w:hAnsi="宋体" w:cs="仿宋"/>
                <w:szCs w:val="21"/>
              </w:rPr>
            </w:pPr>
            <w:r>
              <w:rPr>
                <w:rFonts w:hint="eastAsia" w:ascii="宋体" w:hAnsi="宋体" w:cs="仿宋"/>
                <w:szCs w:val="21"/>
              </w:rPr>
              <w:t>1.从事产前筛查的卫生专业技术人员必须经过省级及以上卫生健康行政部门组织认可的产前筛查技术相关项目的系统培训，获得从事产前筛查技术的《母婴保健技术考核合格证书》（妇产科执业医师在证照加注）；从事辅助性产前筛查技术的人员，须在取得产前筛查类《母婴保健技术考核合格证书》的专业技术人员指导下开展工作。</w:t>
            </w:r>
          </w:p>
          <w:p>
            <w:pPr>
              <w:jc w:val="left"/>
              <w:rPr>
                <w:rFonts w:ascii="宋体" w:hAnsi="宋体" w:cs="仿宋"/>
                <w:szCs w:val="21"/>
              </w:rPr>
            </w:pPr>
            <w:r>
              <w:rPr>
                <w:rFonts w:hint="eastAsia" w:ascii="宋体" w:hAnsi="宋体" w:cs="仿宋"/>
                <w:szCs w:val="21"/>
              </w:rPr>
              <w:t>2.产前筛查技术管理人员须在省级卫生健康行政部门备案。</w:t>
            </w:r>
          </w:p>
          <w:p>
            <w:pPr>
              <w:jc w:val="left"/>
              <w:rPr>
                <w:rFonts w:ascii="宋体" w:hAnsi="宋体" w:cs="仿宋"/>
                <w:szCs w:val="21"/>
              </w:rPr>
            </w:pPr>
            <w:r>
              <w:rPr>
                <w:rFonts w:hint="eastAsia" w:ascii="宋体" w:hAnsi="宋体"/>
                <w:color w:val="000000"/>
                <w:szCs w:val="21"/>
              </w:rPr>
              <w:t>3.现场</w:t>
            </w:r>
            <w:r>
              <w:rPr>
                <w:rFonts w:hint="eastAsia" w:ascii="宋体" w:hAnsi="宋体" w:cs="仿宋"/>
                <w:szCs w:val="21"/>
              </w:rPr>
              <w:t>抽查引产的病历10份，查看签署诊断胎儿畸形或胎儿发育异常的诊断报告单（如超声报告单或遗传学产前诊断报告单）人员是否具有资质。</w:t>
            </w:r>
          </w:p>
          <w:p>
            <w:pPr>
              <w:jc w:val="left"/>
              <w:rPr>
                <w:rFonts w:ascii="宋体" w:hAnsi="宋体" w:cs="仿宋"/>
                <w:szCs w:val="21"/>
              </w:rPr>
            </w:pPr>
            <w:r>
              <w:rPr>
                <w:rFonts w:hint="eastAsia" w:ascii="宋体" w:hAnsi="宋体" w:cs="仿宋"/>
                <w:szCs w:val="21"/>
              </w:rPr>
              <w:t>4.查看医学检验科从事唐氏综合征筛查人员，是否取得检验技术职称；是否取得《母婴保健技术考核合格证书》，与实际从事的产前筛查（生化免疫）检测项目是否与批准项目一致。</w:t>
            </w:r>
          </w:p>
          <w:p>
            <w:pPr>
              <w:jc w:val="left"/>
            </w:pPr>
            <w:r>
              <w:rPr>
                <w:rFonts w:hint="eastAsia" w:ascii="宋体" w:hAnsi="宋体" w:cs="仿宋"/>
                <w:szCs w:val="21"/>
              </w:rPr>
              <w:t>5.现场抽查产前筛查报告10份，检查审核签名人员是否具备副高级以上检验或相关专业的技术职称。</w:t>
            </w:r>
          </w:p>
        </w:tc>
        <w:tc>
          <w:tcPr>
            <w:tcW w:w="3687" w:type="dxa"/>
            <w:gridSpan w:val="3"/>
            <w:tcBorders>
              <w:tl2br w:val="nil"/>
              <w:tr2bl w:val="nil"/>
            </w:tcBorders>
            <w:vAlign w:val="center"/>
          </w:tcPr>
          <w:p>
            <w:pPr>
              <w:jc w:val="left"/>
              <w:rPr>
                <w:rFonts w:ascii="宋体" w:hAnsi="宋体" w:cs="仿宋"/>
                <w:szCs w:val="21"/>
              </w:rPr>
            </w:pPr>
            <w:r>
              <w:rPr>
                <w:rFonts w:hint="eastAsia" w:ascii="宋体" w:hAnsi="宋体" w:cs="仿宋"/>
                <w:szCs w:val="21"/>
              </w:rPr>
              <w:t>1.从事产前筛查的遗传咨询、检验、超声影像人员未取得相关资质的，发现一人扣3分，扣完为止；</w:t>
            </w:r>
          </w:p>
          <w:p>
            <w:pPr>
              <w:jc w:val="left"/>
              <w:rPr>
                <w:rFonts w:ascii="宋体" w:hAnsi="宋体" w:cs="仿宋"/>
                <w:szCs w:val="21"/>
              </w:rPr>
            </w:pPr>
            <w:r>
              <w:rPr>
                <w:rFonts w:hint="eastAsia" w:ascii="宋体" w:hAnsi="宋体" w:cs="仿宋"/>
                <w:szCs w:val="21"/>
              </w:rPr>
              <w:t>2.产前筛查技术管理人员未在省级卫生健康行政部门备案的，扣2分；</w:t>
            </w:r>
          </w:p>
          <w:p>
            <w:pPr>
              <w:jc w:val="left"/>
              <w:rPr>
                <w:rFonts w:ascii="宋体" w:hAnsi="宋体" w:cs="仿宋"/>
                <w:szCs w:val="21"/>
              </w:rPr>
            </w:pPr>
            <w:r>
              <w:rPr>
                <w:rFonts w:hint="eastAsia" w:ascii="宋体" w:hAnsi="宋体" w:cs="仿宋"/>
                <w:szCs w:val="21"/>
              </w:rPr>
              <w:t>3.抽查病历发现无产前诊断资质医师擅自做产前诊断的，发现一例扣4分，扣完为止；</w:t>
            </w:r>
          </w:p>
          <w:p>
            <w:pPr>
              <w:jc w:val="left"/>
              <w:rPr>
                <w:rFonts w:ascii="宋体" w:hAnsi="宋体"/>
                <w:color w:val="000000"/>
                <w:szCs w:val="21"/>
              </w:rPr>
            </w:pPr>
            <w:r>
              <w:rPr>
                <w:rFonts w:hint="eastAsia" w:ascii="宋体" w:hAnsi="宋体" w:cs="仿宋"/>
                <w:szCs w:val="21"/>
              </w:rPr>
              <w:t>4.审核产前筛查报告的人员不具备副高级以上或相关专业的技术职称的，发现一例扣3分，扣完为止。</w:t>
            </w:r>
          </w:p>
        </w:tc>
        <w:tc>
          <w:tcPr>
            <w:tcW w:w="709" w:type="dxa"/>
            <w:gridSpan w:val="2"/>
            <w:tcBorders>
              <w:tl2br w:val="nil"/>
              <w:tr2bl w:val="nil"/>
            </w:tcBorders>
            <w:vAlign w:val="center"/>
          </w:tcPr>
          <w:p>
            <w:pPr>
              <w:spacing w:line="240" w:lineRule="exact"/>
              <w:jc w:val="center"/>
              <w:rPr>
                <w:rFonts w:ascii="Times New Roman" w:hAnsi="Times New Roman" w:cs="宋体"/>
                <w:b/>
                <w:bCs/>
                <w:color w:val="000000" w:themeColor="text1"/>
              </w:rPr>
            </w:pPr>
            <w:r>
              <w:rPr>
                <w:rFonts w:hint="eastAsia" w:ascii="Times New Roman" w:hAnsi="Times New Roman" w:cs="宋体"/>
                <w:b/>
                <w:bCs/>
                <w:color w:val="000000" w:themeColor="text1"/>
              </w:rPr>
              <w:t>30</w:t>
            </w:r>
          </w:p>
        </w:tc>
        <w:tc>
          <w:tcPr>
            <w:tcW w:w="715" w:type="dxa"/>
            <w:gridSpan w:val="3"/>
            <w:tcBorders>
              <w:tl2br w:val="nil"/>
              <w:tr2bl w:val="nil"/>
            </w:tcBorders>
            <w:vAlign w:val="center"/>
          </w:tcPr>
          <w:p>
            <w:pPr>
              <w:spacing w:line="240" w:lineRule="exact"/>
              <w:jc w:val="center"/>
              <w:rPr>
                <w:rFonts w:ascii="Times New Roman" w:hAnsi="Times New Roman" w:cs="宋体"/>
                <w:b/>
                <w:bCs/>
                <w:color w:val="000000"/>
              </w:rPr>
            </w:pPr>
          </w:p>
        </w:tc>
        <w:tc>
          <w:tcPr>
            <w:tcW w:w="820" w:type="dxa"/>
            <w:gridSpan w:val="3"/>
            <w:tcBorders>
              <w:tl2br w:val="nil"/>
              <w:tr2bl w:val="nil"/>
            </w:tcBorders>
            <w:vAlign w:val="center"/>
          </w:tcPr>
          <w:p>
            <w:pPr>
              <w:spacing w:line="240" w:lineRule="exact"/>
              <w:jc w:val="center"/>
              <w:rPr>
                <w:rFonts w:ascii="Times New Roman" w:hAnsi="Times New Roman"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jc w:val="center"/>
        </w:trPr>
        <w:tc>
          <w:tcPr>
            <w:tcW w:w="1293" w:type="dxa"/>
            <w:tcBorders>
              <w:tl2br w:val="nil"/>
              <w:tr2bl w:val="nil"/>
            </w:tcBorders>
            <w:vAlign w:val="center"/>
          </w:tcPr>
          <w:p>
            <w:pPr>
              <w:jc w:val="left"/>
              <w:rPr>
                <w:rFonts w:ascii="Times New Roman" w:hAnsi="Times New Roman"/>
                <w:b/>
                <w:bCs/>
                <w:color w:val="000000"/>
              </w:rPr>
            </w:pPr>
            <w:r>
              <w:rPr>
                <w:rFonts w:hint="eastAsia" w:ascii="Times New Roman" w:hAnsi="Times New Roman"/>
                <w:b/>
                <w:bCs/>
                <w:color w:val="000000"/>
              </w:rPr>
              <w:t>执业要求</w:t>
            </w:r>
          </w:p>
        </w:tc>
        <w:tc>
          <w:tcPr>
            <w:tcW w:w="3240" w:type="dxa"/>
            <w:gridSpan w:val="4"/>
            <w:tcBorders>
              <w:tl2br w:val="nil"/>
              <w:tr2bl w:val="nil"/>
            </w:tcBorders>
            <w:vAlign w:val="center"/>
          </w:tcPr>
          <w:p>
            <w:pPr>
              <w:jc w:val="left"/>
              <w:rPr>
                <w:rFonts w:ascii="宋体" w:hAnsi="宋体" w:cs="仿宋"/>
                <w:szCs w:val="21"/>
              </w:rPr>
            </w:pPr>
            <w:r>
              <w:rPr>
                <w:rFonts w:hint="eastAsia" w:ascii="宋体" w:hAnsi="宋体" w:cs="仿宋"/>
                <w:szCs w:val="21"/>
              </w:rPr>
              <w:t>1.书面告知与知情同意书。</w:t>
            </w:r>
          </w:p>
          <w:p>
            <w:pPr>
              <w:jc w:val="left"/>
              <w:rPr>
                <w:rFonts w:ascii="宋体" w:hAnsi="宋体"/>
                <w:color w:val="000000"/>
                <w:szCs w:val="21"/>
              </w:rPr>
            </w:pPr>
            <w:r>
              <w:rPr>
                <w:rFonts w:hint="eastAsia" w:ascii="宋体" w:hAnsi="宋体"/>
                <w:color w:val="000000"/>
                <w:szCs w:val="21"/>
              </w:rPr>
              <w:t>2.是否进行产前筛查以及筛查后的阳性结果的处理由孕妇或其家属决定，并签署知情同意书。</w:t>
            </w:r>
          </w:p>
          <w:p>
            <w:pPr>
              <w:jc w:val="left"/>
              <w:rPr>
                <w:rFonts w:ascii="宋体" w:hAnsi="宋体"/>
                <w:color w:val="000000"/>
                <w:szCs w:val="21"/>
              </w:rPr>
            </w:pPr>
            <w:r>
              <w:rPr>
                <w:rFonts w:hint="eastAsia" w:ascii="宋体" w:hAnsi="宋体"/>
                <w:szCs w:val="21"/>
              </w:rPr>
              <w:t>3.出具虚假医学证明文件的</w:t>
            </w:r>
            <w:r>
              <w:rPr>
                <w:rFonts w:hint="eastAsia" w:ascii="宋体" w:hAnsi="宋体"/>
                <w:color w:val="000000"/>
                <w:szCs w:val="21"/>
              </w:rPr>
              <w:t>。</w:t>
            </w:r>
          </w:p>
          <w:p>
            <w:pPr>
              <w:jc w:val="left"/>
              <w:rPr>
                <w:rFonts w:ascii="宋体" w:hAnsi="宋体" w:cs="仿宋"/>
                <w:szCs w:val="21"/>
              </w:rPr>
            </w:pPr>
            <w:r>
              <w:rPr>
                <w:rFonts w:hint="eastAsia" w:ascii="宋体" w:hAnsi="宋体"/>
                <w:szCs w:val="21"/>
              </w:rPr>
              <w:t>4.非法进行胎儿性别鉴定。</w:t>
            </w:r>
          </w:p>
        </w:tc>
        <w:tc>
          <w:tcPr>
            <w:tcW w:w="4846" w:type="dxa"/>
            <w:tcBorders>
              <w:tl2br w:val="nil"/>
              <w:tr2bl w:val="nil"/>
            </w:tcBorders>
            <w:vAlign w:val="center"/>
          </w:tcPr>
          <w:p>
            <w:pPr>
              <w:jc w:val="left"/>
              <w:rPr>
                <w:rFonts w:ascii="宋体" w:hAnsi="宋体" w:cs="仿宋"/>
                <w:szCs w:val="21"/>
              </w:rPr>
            </w:pPr>
            <w:r>
              <w:rPr>
                <w:rFonts w:hint="eastAsia" w:ascii="宋体" w:hAnsi="宋体" w:cs="仿宋"/>
                <w:szCs w:val="21"/>
              </w:rPr>
              <w:t>1.查看围产保健门诊、高危门诊、优生咨询门诊等相关部门的登记资料，核查存在有《产前诊断技术管理办法》第十七条所列情形时，是否书面告知孕妇或其家属进行产前诊断。</w:t>
            </w:r>
          </w:p>
          <w:p>
            <w:pPr>
              <w:jc w:val="left"/>
              <w:rPr>
                <w:rFonts w:ascii="宋体" w:hAnsi="宋体"/>
                <w:color w:val="000000"/>
                <w:szCs w:val="21"/>
              </w:rPr>
            </w:pPr>
            <w:r>
              <w:rPr>
                <w:rFonts w:hint="eastAsia" w:ascii="宋体" w:hAnsi="宋体"/>
                <w:color w:val="000000"/>
                <w:szCs w:val="21"/>
              </w:rPr>
              <w:t>2.现场查看是否有产前筛查知情同意书。现场询问2名孕妇。</w:t>
            </w:r>
          </w:p>
        </w:tc>
        <w:tc>
          <w:tcPr>
            <w:tcW w:w="3687" w:type="dxa"/>
            <w:gridSpan w:val="3"/>
            <w:tcBorders>
              <w:tl2br w:val="nil"/>
              <w:tr2bl w:val="nil"/>
            </w:tcBorders>
            <w:vAlign w:val="center"/>
          </w:tcPr>
          <w:p>
            <w:pPr>
              <w:jc w:val="left"/>
              <w:rPr>
                <w:rFonts w:ascii="宋体" w:hAnsi="宋体" w:cs="仿宋"/>
                <w:szCs w:val="21"/>
              </w:rPr>
            </w:pPr>
            <w:r>
              <w:rPr>
                <w:rFonts w:hint="eastAsia" w:ascii="宋体" w:hAnsi="宋体" w:cs="仿宋"/>
                <w:szCs w:val="21"/>
              </w:rPr>
              <w:t>1.对《产前诊断技术管理办法》第十七条涉及的5种情形未进行书面告知的扣3分；</w:t>
            </w:r>
          </w:p>
          <w:p>
            <w:pPr>
              <w:jc w:val="left"/>
              <w:rPr>
                <w:rFonts w:ascii="宋体" w:hAnsi="宋体" w:cs="仿宋"/>
                <w:szCs w:val="21"/>
              </w:rPr>
            </w:pPr>
            <w:r>
              <w:rPr>
                <w:rFonts w:hint="eastAsia" w:ascii="宋体" w:hAnsi="宋体" w:cs="仿宋"/>
                <w:szCs w:val="21"/>
              </w:rPr>
              <w:t>2.无统一的产前知情同意书的扣2分，内容不全的扣1分；</w:t>
            </w:r>
          </w:p>
          <w:p>
            <w:pPr>
              <w:jc w:val="left"/>
              <w:rPr>
                <w:rFonts w:ascii="宋体" w:hAnsi="宋体" w:cs="仿宋"/>
                <w:szCs w:val="21"/>
              </w:rPr>
            </w:pPr>
            <w:r>
              <w:rPr>
                <w:rFonts w:hint="eastAsia" w:ascii="宋体" w:hAnsi="宋体" w:cs="仿宋"/>
                <w:szCs w:val="21"/>
              </w:rPr>
              <w:t>3.未签署产前筛查知情同意书的发现一例扣3分；扣完为止；</w:t>
            </w:r>
          </w:p>
          <w:p>
            <w:pPr>
              <w:jc w:val="left"/>
              <w:rPr>
                <w:rFonts w:ascii="宋体" w:hAnsi="宋体"/>
                <w:szCs w:val="21"/>
              </w:rPr>
            </w:pPr>
            <w:r>
              <w:rPr>
                <w:rFonts w:hint="eastAsia" w:ascii="宋体" w:hAnsi="宋体"/>
                <w:szCs w:val="21"/>
              </w:rPr>
              <w:t>4.出具虚假医学证明文件的，扣8分；</w:t>
            </w:r>
          </w:p>
          <w:p>
            <w:pPr>
              <w:jc w:val="left"/>
              <w:rPr>
                <w:rFonts w:ascii="宋体" w:hAnsi="宋体"/>
                <w:color w:val="000000"/>
                <w:szCs w:val="21"/>
              </w:rPr>
            </w:pPr>
            <w:r>
              <w:rPr>
                <w:rFonts w:hint="eastAsia" w:ascii="宋体" w:hAnsi="宋体"/>
                <w:szCs w:val="21"/>
              </w:rPr>
              <w:t>5.非法进行胎儿性别鉴定的，0分。</w:t>
            </w:r>
          </w:p>
        </w:tc>
        <w:tc>
          <w:tcPr>
            <w:tcW w:w="709" w:type="dxa"/>
            <w:gridSpan w:val="2"/>
            <w:tcBorders>
              <w:tl2br w:val="nil"/>
              <w:tr2bl w:val="nil"/>
            </w:tcBorders>
            <w:vAlign w:val="center"/>
          </w:tcPr>
          <w:p>
            <w:pPr>
              <w:spacing w:line="240" w:lineRule="exact"/>
              <w:jc w:val="center"/>
              <w:rPr>
                <w:rFonts w:ascii="Times New Roman" w:hAnsi="Times New Roman" w:cs="宋体"/>
                <w:b/>
                <w:bCs/>
                <w:color w:val="000000" w:themeColor="text1"/>
              </w:rPr>
            </w:pPr>
            <w:r>
              <w:rPr>
                <w:rFonts w:hint="eastAsia" w:ascii="Times New Roman" w:hAnsi="Times New Roman" w:cs="宋体"/>
                <w:b/>
                <w:bCs/>
                <w:color w:val="000000" w:themeColor="text1"/>
              </w:rPr>
              <w:t>20</w:t>
            </w:r>
          </w:p>
        </w:tc>
        <w:tc>
          <w:tcPr>
            <w:tcW w:w="715" w:type="dxa"/>
            <w:gridSpan w:val="3"/>
            <w:tcBorders>
              <w:tl2br w:val="nil"/>
              <w:tr2bl w:val="nil"/>
            </w:tcBorders>
            <w:vAlign w:val="center"/>
          </w:tcPr>
          <w:p>
            <w:pPr>
              <w:spacing w:line="240" w:lineRule="exact"/>
              <w:jc w:val="center"/>
              <w:rPr>
                <w:rFonts w:ascii="Times New Roman" w:hAnsi="Times New Roman" w:cs="宋体"/>
                <w:b/>
                <w:bCs/>
                <w:color w:val="000000"/>
              </w:rPr>
            </w:pPr>
          </w:p>
        </w:tc>
        <w:tc>
          <w:tcPr>
            <w:tcW w:w="820" w:type="dxa"/>
            <w:gridSpan w:val="3"/>
            <w:tcBorders>
              <w:tl2br w:val="nil"/>
              <w:tr2bl w:val="nil"/>
            </w:tcBorders>
            <w:vAlign w:val="center"/>
          </w:tcPr>
          <w:p>
            <w:pPr>
              <w:spacing w:line="240" w:lineRule="exact"/>
              <w:jc w:val="center"/>
              <w:rPr>
                <w:rFonts w:ascii="Times New Roman" w:hAnsi="Times New Roman"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jc w:val="center"/>
        </w:trPr>
        <w:tc>
          <w:tcPr>
            <w:tcW w:w="1293" w:type="dxa"/>
            <w:tcBorders>
              <w:tl2br w:val="nil"/>
              <w:tr2bl w:val="nil"/>
            </w:tcBorders>
            <w:vAlign w:val="center"/>
          </w:tcPr>
          <w:p>
            <w:pPr>
              <w:jc w:val="left"/>
              <w:rPr>
                <w:rFonts w:ascii="Times New Roman" w:hAnsi="Times New Roman"/>
                <w:b/>
                <w:bCs/>
                <w:color w:val="000000"/>
              </w:rPr>
            </w:pPr>
            <w:r>
              <w:rPr>
                <w:rFonts w:hint="eastAsia" w:ascii="Times New Roman" w:hAnsi="Times New Roman"/>
                <w:b/>
                <w:bCs/>
                <w:color w:val="000000"/>
              </w:rPr>
              <w:t>标本管理</w:t>
            </w:r>
          </w:p>
        </w:tc>
        <w:tc>
          <w:tcPr>
            <w:tcW w:w="3240" w:type="dxa"/>
            <w:gridSpan w:val="4"/>
            <w:tcBorders>
              <w:tl2br w:val="nil"/>
              <w:tr2bl w:val="nil"/>
            </w:tcBorders>
            <w:vAlign w:val="center"/>
          </w:tcPr>
          <w:p>
            <w:pPr>
              <w:jc w:val="left"/>
              <w:rPr>
                <w:rFonts w:ascii="宋体" w:hAnsi="宋体"/>
                <w:color w:val="000000"/>
                <w:szCs w:val="21"/>
              </w:rPr>
            </w:pPr>
            <w:r>
              <w:rPr>
                <w:rFonts w:hint="eastAsia" w:ascii="宋体" w:hAnsi="宋体"/>
                <w:color w:val="000000"/>
                <w:szCs w:val="21"/>
              </w:rPr>
              <w:t>产前筛查标本保存温度、时限、运输等是否符合要求。</w:t>
            </w:r>
          </w:p>
          <w:p>
            <w:pPr>
              <w:jc w:val="left"/>
              <w:rPr>
                <w:rFonts w:ascii="宋体" w:hAnsi="宋体"/>
                <w:color w:val="000000"/>
                <w:szCs w:val="21"/>
              </w:rPr>
            </w:pPr>
          </w:p>
          <w:p>
            <w:pPr>
              <w:jc w:val="left"/>
              <w:rPr>
                <w:rFonts w:ascii="宋体" w:hAnsi="宋体"/>
                <w:color w:val="000000"/>
                <w:szCs w:val="21"/>
              </w:rPr>
            </w:pPr>
          </w:p>
        </w:tc>
        <w:tc>
          <w:tcPr>
            <w:tcW w:w="4846" w:type="dxa"/>
            <w:tcBorders>
              <w:tl2br w:val="nil"/>
              <w:tr2bl w:val="nil"/>
            </w:tcBorders>
            <w:vAlign w:val="center"/>
          </w:tcPr>
          <w:p>
            <w:pPr>
              <w:jc w:val="left"/>
              <w:rPr>
                <w:rFonts w:ascii="宋体" w:hAnsi="宋体"/>
                <w:color w:val="000000"/>
                <w:szCs w:val="21"/>
              </w:rPr>
            </w:pPr>
            <w:r>
              <w:rPr>
                <w:rFonts w:hint="eastAsia" w:ascii="宋体" w:hAnsi="宋体"/>
                <w:color w:val="000000"/>
                <w:szCs w:val="21"/>
              </w:rPr>
              <w:t>1.查看标本保存冰箱的温度计及温度记录等，看设备是否正常运行。待检血清标本是否存于4℃-8℃冰箱，标本登记的采集日期是否超过7天；在-20℃以下是否超过3个月；长期保存是否在-70℃以下。</w:t>
            </w:r>
          </w:p>
          <w:p>
            <w:pPr>
              <w:jc w:val="left"/>
              <w:rPr>
                <w:rFonts w:ascii="宋体" w:hAnsi="宋体"/>
                <w:color w:val="000000"/>
                <w:szCs w:val="21"/>
              </w:rPr>
            </w:pPr>
            <w:r>
              <w:rPr>
                <w:rFonts w:hint="eastAsia" w:ascii="宋体" w:hAnsi="宋体"/>
                <w:color w:val="000000"/>
                <w:szCs w:val="21"/>
              </w:rPr>
              <w:t>2.筛查结果的原始数据和血清标本必须保存至少一年，血清标本须保存于-70℃，以备复查。</w:t>
            </w:r>
          </w:p>
          <w:p>
            <w:pPr>
              <w:jc w:val="left"/>
              <w:rPr>
                <w:rFonts w:ascii="宋体" w:hAnsi="宋体"/>
                <w:color w:val="000000"/>
                <w:szCs w:val="21"/>
              </w:rPr>
            </w:pPr>
            <w:r>
              <w:rPr>
                <w:rFonts w:hint="eastAsia" w:ascii="宋体" w:hAnsi="宋体"/>
                <w:color w:val="000000"/>
                <w:szCs w:val="21"/>
              </w:rPr>
              <w:t>3.查看免费采血的筛查机构血标本登记及交接记录，看标本是否送往指定的产前筛查检验机构或产前诊断机构。</w:t>
            </w:r>
          </w:p>
        </w:tc>
        <w:tc>
          <w:tcPr>
            <w:tcW w:w="3687" w:type="dxa"/>
            <w:gridSpan w:val="3"/>
            <w:tcBorders>
              <w:tl2br w:val="nil"/>
              <w:tr2bl w:val="nil"/>
            </w:tcBorders>
            <w:vAlign w:val="center"/>
          </w:tcPr>
          <w:p>
            <w:pPr>
              <w:tabs>
                <w:tab w:val="left" w:pos="312"/>
              </w:tabs>
              <w:jc w:val="left"/>
              <w:rPr>
                <w:rFonts w:ascii="宋体" w:hAnsi="宋体"/>
                <w:color w:val="000000"/>
                <w:szCs w:val="21"/>
              </w:rPr>
            </w:pPr>
            <w:r>
              <w:rPr>
                <w:rFonts w:hint="eastAsia" w:ascii="宋体" w:hAnsi="宋体"/>
                <w:color w:val="000000"/>
                <w:szCs w:val="21"/>
              </w:rPr>
              <w:t>1.标本保存温度不符合要求扣 3分；</w:t>
            </w:r>
          </w:p>
          <w:p>
            <w:pPr>
              <w:tabs>
                <w:tab w:val="left" w:pos="312"/>
              </w:tabs>
              <w:jc w:val="left"/>
              <w:rPr>
                <w:rFonts w:ascii="宋体" w:hAnsi="宋体"/>
                <w:color w:val="000000"/>
                <w:szCs w:val="21"/>
              </w:rPr>
            </w:pPr>
            <w:r>
              <w:rPr>
                <w:rFonts w:hint="eastAsia" w:ascii="宋体" w:hAnsi="宋体"/>
                <w:color w:val="000000"/>
                <w:szCs w:val="21"/>
              </w:rPr>
              <w:t>2.标本保存时限不符合要求扣 3分；</w:t>
            </w:r>
          </w:p>
          <w:p>
            <w:pPr>
              <w:tabs>
                <w:tab w:val="left" w:pos="312"/>
              </w:tabs>
              <w:jc w:val="left"/>
              <w:rPr>
                <w:rFonts w:ascii="宋体" w:hAnsi="宋体"/>
                <w:color w:val="000000"/>
                <w:szCs w:val="21"/>
              </w:rPr>
            </w:pPr>
            <w:r>
              <w:rPr>
                <w:rFonts w:hint="eastAsia" w:ascii="宋体" w:hAnsi="宋体"/>
                <w:color w:val="000000"/>
                <w:szCs w:val="21"/>
              </w:rPr>
              <w:t>3.标本运输不符合要求扣3分；</w:t>
            </w:r>
          </w:p>
          <w:p>
            <w:pPr>
              <w:tabs>
                <w:tab w:val="left" w:pos="312"/>
              </w:tabs>
              <w:jc w:val="left"/>
              <w:rPr>
                <w:rFonts w:ascii="宋体" w:hAnsi="宋体"/>
                <w:color w:val="000000"/>
                <w:szCs w:val="21"/>
              </w:rPr>
            </w:pPr>
            <w:r>
              <w:rPr>
                <w:rFonts w:hint="eastAsia" w:ascii="宋体" w:hAnsi="宋体"/>
                <w:color w:val="000000"/>
                <w:szCs w:val="21"/>
              </w:rPr>
              <w:t>4.产前筛查标本未送至指定机构进行检测的，扣6分。</w:t>
            </w:r>
          </w:p>
        </w:tc>
        <w:tc>
          <w:tcPr>
            <w:tcW w:w="709" w:type="dxa"/>
            <w:gridSpan w:val="2"/>
            <w:tcBorders>
              <w:tl2br w:val="nil"/>
              <w:tr2bl w:val="nil"/>
            </w:tcBorders>
            <w:vAlign w:val="center"/>
          </w:tcPr>
          <w:p>
            <w:pPr>
              <w:spacing w:line="240" w:lineRule="exact"/>
              <w:jc w:val="center"/>
              <w:rPr>
                <w:rFonts w:ascii="Times New Roman" w:hAnsi="Times New Roman" w:cs="宋体"/>
                <w:b/>
                <w:bCs/>
                <w:color w:val="000000" w:themeColor="text1"/>
              </w:rPr>
            </w:pPr>
            <w:r>
              <w:rPr>
                <w:rFonts w:hint="eastAsia" w:ascii="Times New Roman" w:hAnsi="Times New Roman" w:cs="宋体"/>
                <w:b/>
                <w:bCs/>
                <w:color w:val="000000" w:themeColor="text1"/>
              </w:rPr>
              <w:t>10</w:t>
            </w:r>
          </w:p>
        </w:tc>
        <w:tc>
          <w:tcPr>
            <w:tcW w:w="715" w:type="dxa"/>
            <w:gridSpan w:val="3"/>
            <w:tcBorders>
              <w:tl2br w:val="nil"/>
              <w:tr2bl w:val="nil"/>
            </w:tcBorders>
            <w:vAlign w:val="center"/>
          </w:tcPr>
          <w:p>
            <w:pPr>
              <w:spacing w:line="240" w:lineRule="exact"/>
              <w:jc w:val="center"/>
              <w:rPr>
                <w:rFonts w:ascii="Times New Roman" w:hAnsi="Times New Roman" w:cs="宋体"/>
                <w:b/>
                <w:bCs/>
                <w:color w:val="000000"/>
              </w:rPr>
            </w:pPr>
          </w:p>
        </w:tc>
        <w:tc>
          <w:tcPr>
            <w:tcW w:w="820" w:type="dxa"/>
            <w:gridSpan w:val="3"/>
            <w:tcBorders>
              <w:tl2br w:val="nil"/>
              <w:tr2bl w:val="nil"/>
            </w:tcBorders>
            <w:vAlign w:val="center"/>
          </w:tcPr>
          <w:p>
            <w:pPr>
              <w:spacing w:line="240" w:lineRule="exact"/>
              <w:jc w:val="center"/>
              <w:rPr>
                <w:rFonts w:ascii="Times New Roman" w:hAnsi="Times New Roman"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jc w:val="center"/>
        </w:trPr>
        <w:tc>
          <w:tcPr>
            <w:tcW w:w="1293" w:type="dxa"/>
            <w:tcBorders>
              <w:tl2br w:val="nil"/>
              <w:tr2bl w:val="nil"/>
            </w:tcBorders>
            <w:vAlign w:val="center"/>
          </w:tcPr>
          <w:p>
            <w:pPr>
              <w:jc w:val="center"/>
              <w:rPr>
                <w:rFonts w:ascii="Times New Roman" w:hAnsi="Times New Roman"/>
                <w:b/>
                <w:bCs/>
                <w:color w:val="000000"/>
              </w:rPr>
            </w:pPr>
            <w:r>
              <w:rPr>
                <w:rFonts w:hint="eastAsia" w:ascii="Times New Roman" w:hAnsi="Times New Roman"/>
                <w:b/>
                <w:bCs/>
                <w:color w:val="000000"/>
              </w:rPr>
              <w:t>伦理管理</w:t>
            </w:r>
          </w:p>
        </w:tc>
        <w:tc>
          <w:tcPr>
            <w:tcW w:w="3240" w:type="dxa"/>
            <w:gridSpan w:val="4"/>
            <w:tcBorders>
              <w:tl2br w:val="nil"/>
              <w:tr2bl w:val="nil"/>
            </w:tcBorders>
            <w:vAlign w:val="center"/>
          </w:tcPr>
          <w:p>
            <w:pPr>
              <w:rPr>
                <w:rFonts w:ascii="宋体" w:hAnsi="宋体"/>
                <w:color w:val="000000"/>
                <w:szCs w:val="21"/>
              </w:rPr>
            </w:pPr>
            <w:r>
              <w:rPr>
                <w:rFonts w:hint="eastAsia" w:ascii="宋体" w:hAnsi="宋体"/>
                <w:color w:val="000000"/>
                <w:szCs w:val="21"/>
              </w:rPr>
              <w:t>1.应设医学伦理委员会，并履行职能职责。</w:t>
            </w:r>
          </w:p>
        </w:tc>
        <w:tc>
          <w:tcPr>
            <w:tcW w:w="4846" w:type="dxa"/>
            <w:tcBorders>
              <w:tl2br w:val="nil"/>
              <w:tr2bl w:val="nil"/>
            </w:tcBorders>
            <w:vAlign w:val="center"/>
          </w:tcPr>
          <w:p>
            <w:pPr>
              <w:rPr>
                <w:rFonts w:ascii="宋体" w:hAnsi="宋体"/>
                <w:color w:val="000000"/>
                <w:szCs w:val="21"/>
              </w:rPr>
            </w:pPr>
            <w:r>
              <w:rPr>
                <w:rFonts w:hint="eastAsia" w:ascii="宋体" w:hAnsi="宋体"/>
                <w:color w:val="000000"/>
                <w:szCs w:val="21"/>
              </w:rPr>
              <w:t>1．查看医学伦理委员会设置文件。</w:t>
            </w:r>
          </w:p>
          <w:p>
            <w:pPr>
              <w:rPr>
                <w:rFonts w:ascii="宋体" w:hAnsi="宋体"/>
                <w:color w:val="000000"/>
                <w:szCs w:val="21"/>
              </w:rPr>
            </w:pPr>
            <w:r>
              <w:rPr>
                <w:rFonts w:hint="eastAsia" w:ascii="宋体" w:hAnsi="宋体"/>
                <w:color w:val="000000"/>
                <w:szCs w:val="21"/>
              </w:rPr>
              <w:t>2.查看医学伦理委员会的组成情况是否符合要求（应包括医学伦理学、心理学、社会学、法学、生殖医学、护理学、临床遗传学、围产医学专家和群众代表等，应含有非本单位人员和女性成员以及非医学背景成员）。</w:t>
            </w:r>
          </w:p>
          <w:p>
            <w:pPr>
              <w:rPr>
                <w:rFonts w:ascii="宋体" w:hAnsi="宋体"/>
                <w:color w:val="000000"/>
                <w:szCs w:val="21"/>
              </w:rPr>
            </w:pPr>
            <w:r>
              <w:rPr>
                <w:rFonts w:hint="eastAsia" w:ascii="宋体" w:hAnsi="宋体"/>
                <w:color w:val="000000"/>
                <w:szCs w:val="21"/>
              </w:rPr>
              <w:t>3．查看医学伦理委员会的会议记录、审查记录等，开展工作是否遵守章程。</w:t>
            </w:r>
          </w:p>
        </w:tc>
        <w:tc>
          <w:tcPr>
            <w:tcW w:w="3687" w:type="dxa"/>
            <w:gridSpan w:val="3"/>
            <w:tcBorders>
              <w:tl2br w:val="nil"/>
              <w:tr2bl w:val="nil"/>
            </w:tcBorders>
            <w:vAlign w:val="center"/>
          </w:tcPr>
          <w:p>
            <w:pPr>
              <w:rPr>
                <w:rFonts w:ascii="宋体" w:hAnsi="宋体"/>
                <w:szCs w:val="21"/>
              </w:rPr>
            </w:pPr>
            <w:r>
              <w:rPr>
                <w:rFonts w:hint="eastAsia" w:ascii="宋体" w:hAnsi="宋体"/>
                <w:szCs w:val="21"/>
              </w:rPr>
              <w:t>1.未设置医学伦理委员扣6分；</w:t>
            </w:r>
          </w:p>
          <w:p>
            <w:pPr>
              <w:rPr>
                <w:rFonts w:ascii="宋体" w:hAnsi="宋体"/>
                <w:szCs w:val="21"/>
              </w:rPr>
            </w:pPr>
            <w:r>
              <w:rPr>
                <w:rFonts w:hint="eastAsia" w:ascii="宋体" w:hAnsi="宋体"/>
                <w:szCs w:val="21"/>
              </w:rPr>
              <w:t>2．伦理委员会组成不合理扣4分；</w:t>
            </w:r>
          </w:p>
          <w:p>
            <w:pPr>
              <w:rPr>
                <w:rFonts w:ascii="宋体" w:hAnsi="宋体"/>
                <w:color w:val="000000"/>
                <w:szCs w:val="21"/>
              </w:rPr>
            </w:pPr>
            <w:r>
              <w:rPr>
                <w:rFonts w:hint="eastAsia" w:ascii="宋体" w:hAnsi="宋体"/>
                <w:szCs w:val="21"/>
              </w:rPr>
              <w:t>3．未开展相关工作扣2分。</w:t>
            </w:r>
          </w:p>
        </w:tc>
        <w:tc>
          <w:tcPr>
            <w:tcW w:w="709" w:type="dxa"/>
            <w:gridSpan w:val="2"/>
            <w:tcBorders>
              <w:tl2br w:val="nil"/>
              <w:tr2bl w:val="nil"/>
            </w:tcBorders>
            <w:vAlign w:val="center"/>
          </w:tcPr>
          <w:p>
            <w:pPr>
              <w:spacing w:line="240" w:lineRule="exact"/>
              <w:jc w:val="center"/>
              <w:rPr>
                <w:rFonts w:ascii="Times New Roman" w:hAnsi="Times New Roman" w:cs="宋体"/>
                <w:b/>
                <w:bCs/>
                <w:color w:val="000000" w:themeColor="text1"/>
              </w:rPr>
            </w:pPr>
            <w:r>
              <w:rPr>
                <w:rFonts w:hint="eastAsia" w:ascii="Times New Roman" w:hAnsi="Times New Roman" w:cs="宋体"/>
                <w:b/>
                <w:bCs/>
                <w:color w:val="000000" w:themeColor="text1"/>
              </w:rPr>
              <w:t>10</w:t>
            </w:r>
          </w:p>
        </w:tc>
        <w:tc>
          <w:tcPr>
            <w:tcW w:w="715" w:type="dxa"/>
            <w:gridSpan w:val="3"/>
            <w:tcBorders>
              <w:tl2br w:val="nil"/>
              <w:tr2bl w:val="nil"/>
            </w:tcBorders>
            <w:vAlign w:val="center"/>
          </w:tcPr>
          <w:p>
            <w:pPr>
              <w:spacing w:line="240" w:lineRule="exact"/>
              <w:jc w:val="center"/>
              <w:rPr>
                <w:rFonts w:ascii="Times New Roman" w:hAnsi="Times New Roman" w:cs="宋体"/>
                <w:b/>
                <w:bCs/>
                <w:color w:val="000000" w:themeColor="text1"/>
              </w:rPr>
            </w:pPr>
          </w:p>
        </w:tc>
        <w:tc>
          <w:tcPr>
            <w:tcW w:w="820" w:type="dxa"/>
            <w:gridSpan w:val="3"/>
            <w:tcBorders>
              <w:tl2br w:val="nil"/>
              <w:tr2bl w:val="nil"/>
            </w:tcBorders>
            <w:vAlign w:val="center"/>
          </w:tcPr>
          <w:p>
            <w:pPr>
              <w:spacing w:line="240" w:lineRule="exact"/>
              <w:jc w:val="center"/>
              <w:rPr>
                <w:rFonts w:ascii="Times New Roman" w:hAnsi="Times New Roman"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310" w:type="dxa"/>
            <w:gridSpan w:val="17"/>
            <w:tcBorders>
              <w:tl2br w:val="nil"/>
              <w:tr2bl w:val="nil"/>
            </w:tcBorders>
            <w:vAlign w:val="center"/>
          </w:tcPr>
          <w:p>
            <w:pPr>
              <w:jc w:val="left"/>
              <w:rPr>
                <w:rFonts w:ascii="黑体" w:hAnsi="黑体" w:eastAsia="黑体" w:cs="宋体"/>
                <w:bCs/>
                <w:color w:val="000000"/>
              </w:rPr>
            </w:pPr>
            <w:r>
              <w:rPr>
                <w:rFonts w:hint="eastAsia" w:ascii="黑体" w:hAnsi="黑体" w:eastAsia="黑体" w:cs="宋体"/>
                <w:bCs/>
                <w:color w:val="000000"/>
                <w:sz w:val="28"/>
                <w:highlight w:val="yellow"/>
              </w:rPr>
              <w:t>七、产前诊断</w:t>
            </w:r>
            <w:r>
              <w:rPr>
                <w:rFonts w:hint="eastAsia" w:ascii="黑体" w:hAnsi="黑体" w:eastAsia="黑体" w:cs="宋体"/>
                <w:bCs/>
                <w:color w:val="000000"/>
                <w:sz w:val="28"/>
              </w:rPr>
              <w:t xml:space="preserve">  共120分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293" w:type="dxa"/>
            <w:tcBorders>
              <w:tl2br w:val="nil"/>
              <w:tr2bl w:val="nil"/>
            </w:tcBorders>
            <w:vAlign w:val="center"/>
          </w:tcPr>
          <w:p>
            <w:pPr>
              <w:spacing w:line="240" w:lineRule="exact"/>
              <w:jc w:val="center"/>
              <w:rPr>
                <w:rFonts w:ascii="Times New Roman" w:hAnsi="Times New Roman"/>
                <w:b/>
                <w:bCs/>
              </w:rPr>
            </w:pPr>
            <w:r>
              <w:rPr>
                <w:rFonts w:ascii="黑体" w:eastAsia="黑体"/>
                <w:sz w:val="32"/>
                <w:szCs w:val="32"/>
              </w:rPr>
              <w:br w:type="page"/>
            </w:r>
            <w:r>
              <w:rPr>
                <w:rFonts w:hint="eastAsia" w:ascii="Times New Roman" w:hAnsi="Times New Roman" w:cs="宋体"/>
                <w:b/>
                <w:bCs/>
              </w:rPr>
              <w:t>检查项目</w:t>
            </w:r>
          </w:p>
        </w:tc>
        <w:tc>
          <w:tcPr>
            <w:tcW w:w="3240" w:type="dxa"/>
            <w:gridSpan w:val="4"/>
            <w:tcBorders>
              <w:tl2br w:val="nil"/>
              <w:tr2bl w:val="nil"/>
            </w:tcBorders>
            <w:vAlign w:val="center"/>
          </w:tcPr>
          <w:p>
            <w:pPr>
              <w:spacing w:line="240" w:lineRule="exact"/>
              <w:jc w:val="center"/>
              <w:rPr>
                <w:rFonts w:ascii="Times New Roman" w:hAnsi="Times New Roman"/>
                <w:b/>
                <w:bCs/>
              </w:rPr>
            </w:pPr>
            <w:r>
              <w:rPr>
                <w:rFonts w:hint="eastAsia" w:ascii="Times New Roman" w:hAnsi="Times New Roman" w:cs="宋体"/>
                <w:b/>
                <w:bCs/>
              </w:rPr>
              <w:t>检查内容</w:t>
            </w:r>
          </w:p>
        </w:tc>
        <w:tc>
          <w:tcPr>
            <w:tcW w:w="4846" w:type="dxa"/>
            <w:tcBorders>
              <w:tl2br w:val="nil"/>
              <w:tr2bl w:val="nil"/>
            </w:tcBorders>
            <w:vAlign w:val="center"/>
          </w:tcPr>
          <w:p>
            <w:pPr>
              <w:spacing w:line="240" w:lineRule="exact"/>
              <w:jc w:val="center"/>
              <w:rPr>
                <w:rFonts w:ascii="Times New Roman" w:hAnsi="Times New Roman" w:cs="宋体"/>
                <w:b/>
                <w:bCs/>
              </w:rPr>
            </w:pPr>
            <w:r>
              <w:rPr>
                <w:rFonts w:hint="eastAsia" w:ascii="Times New Roman" w:hAnsi="Times New Roman" w:cs="宋体"/>
                <w:b/>
                <w:bCs/>
              </w:rPr>
              <w:t>检查方法</w:t>
            </w:r>
          </w:p>
        </w:tc>
        <w:tc>
          <w:tcPr>
            <w:tcW w:w="3687" w:type="dxa"/>
            <w:gridSpan w:val="3"/>
            <w:tcBorders>
              <w:tl2br w:val="nil"/>
              <w:tr2bl w:val="nil"/>
            </w:tcBorders>
            <w:vAlign w:val="center"/>
          </w:tcPr>
          <w:p>
            <w:pPr>
              <w:spacing w:line="240" w:lineRule="exact"/>
              <w:jc w:val="center"/>
              <w:rPr>
                <w:rFonts w:ascii="Times New Roman" w:hAnsi="Times New Roman"/>
                <w:b/>
                <w:bCs/>
              </w:rPr>
            </w:pPr>
            <w:r>
              <w:rPr>
                <w:rFonts w:hint="eastAsia" w:ascii="Times New Roman" w:hAnsi="Times New Roman" w:cs="宋体"/>
                <w:b/>
                <w:bCs/>
              </w:rPr>
              <w:t>评分标准</w:t>
            </w:r>
          </w:p>
        </w:tc>
        <w:tc>
          <w:tcPr>
            <w:tcW w:w="709" w:type="dxa"/>
            <w:gridSpan w:val="2"/>
            <w:tcBorders>
              <w:tl2br w:val="nil"/>
              <w:tr2bl w:val="nil"/>
            </w:tcBorders>
            <w:vAlign w:val="center"/>
          </w:tcPr>
          <w:p>
            <w:pPr>
              <w:spacing w:line="240" w:lineRule="exact"/>
              <w:jc w:val="center"/>
              <w:rPr>
                <w:rFonts w:ascii="Times New Roman" w:hAnsi="Times New Roman"/>
                <w:b/>
                <w:bCs/>
              </w:rPr>
            </w:pPr>
            <w:r>
              <w:rPr>
                <w:rFonts w:hint="eastAsia" w:ascii="Times New Roman" w:hAnsi="Times New Roman" w:cs="宋体"/>
                <w:b/>
                <w:bCs/>
              </w:rPr>
              <w:t>分值</w:t>
            </w:r>
          </w:p>
        </w:tc>
        <w:tc>
          <w:tcPr>
            <w:tcW w:w="715" w:type="dxa"/>
            <w:gridSpan w:val="3"/>
            <w:tcBorders>
              <w:tl2br w:val="nil"/>
              <w:tr2bl w:val="nil"/>
            </w:tcBorders>
            <w:vAlign w:val="center"/>
          </w:tcPr>
          <w:p>
            <w:pPr>
              <w:spacing w:line="240" w:lineRule="exact"/>
              <w:jc w:val="center"/>
              <w:rPr>
                <w:rFonts w:ascii="Times New Roman" w:hAnsi="Times New Roman"/>
                <w:b/>
                <w:bCs/>
              </w:rPr>
            </w:pPr>
            <w:r>
              <w:rPr>
                <w:rFonts w:hint="eastAsia" w:ascii="Times New Roman" w:hAnsi="Times New Roman" w:cs="宋体"/>
                <w:b/>
                <w:bCs/>
              </w:rPr>
              <w:t>扣分</w:t>
            </w:r>
          </w:p>
        </w:tc>
        <w:tc>
          <w:tcPr>
            <w:tcW w:w="820" w:type="dxa"/>
            <w:gridSpan w:val="3"/>
            <w:tcBorders>
              <w:tl2br w:val="nil"/>
              <w:tr2bl w:val="nil"/>
            </w:tcBorders>
            <w:vAlign w:val="center"/>
          </w:tcPr>
          <w:p>
            <w:pPr>
              <w:spacing w:line="240" w:lineRule="exact"/>
              <w:jc w:val="center"/>
              <w:rPr>
                <w:rFonts w:ascii="Times New Roman" w:hAnsi="Times New Roman"/>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3" w:type="dxa"/>
            <w:tcBorders>
              <w:tl2br w:val="nil"/>
              <w:tr2bl w:val="nil"/>
            </w:tcBorders>
            <w:vAlign w:val="center"/>
          </w:tcPr>
          <w:p>
            <w:pPr>
              <w:spacing w:line="280" w:lineRule="exact"/>
              <w:jc w:val="center"/>
              <w:rPr>
                <w:rFonts w:ascii="Times New Roman" w:hAnsi="Times New Roman"/>
                <w:b/>
                <w:bCs/>
              </w:rPr>
            </w:pPr>
            <w:r>
              <w:rPr>
                <w:rFonts w:hint="eastAsia" w:ascii="Times New Roman" w:hAnsi="Times New Roman"/>
                <w:b/>
                <w:bCs/>
              </w:rPr>
              <w:t>机构资质</w:t>
            </w:r>
          </w:p>
        </w:tc>
        <w:tc>
          <w:tcPr>
            <w:tcW w:w="3240" w:type="dxa"/>
            <w:gridSpan w:val="4"/>
            <w:tcBorders>
              <w:tl2br w:val="nil"/>
              <w:tr2bl w:val="nil"/>
            </w:tcBorders>
            <w:vAlign w:val="center"/>
          </w:tcPr>
          <w:p>
            <w:pPr>
              <w:rPr>
                <w:rFonts w:ascii="宋体" w:hAnsi="宋体" w:cs="仿宋"/>
                <w:szCs w:val="21"/>
              </w:rPr>
            </w:pPr>
            <w:r>
              <w:rPr>
                <w:rFonts w:hint="eastAsia" w:ascii="宋体" w:hAnsi="宋体" w:cs="仿宋"/>
                <w:szCs w:val="21"/>
              </w:rPr>
              <w:t>1.取得有效《母婴保健技术服务执业许可证》并按规定校验；</w:t>
            </w:r>
          </w:p>
          <w:p>
            <w:pPr>
              <w:rPr>
                <w:rFonts w:asciiTheme="minorEastAsia" w:hAnsiTheme="minorEastAsia" w:eastAsiaTheme="minorEastAsia" w:cstheme="minorEastAsia"/>
                <w:szCs w:val="21"/>
              </w:rPr>
            </w:pPr>
            <w:r>
              <w:rPr>
                <w:rFonts w:hint="eastAsia" w:ascii="宋体" w:hAnsi="宋体" w:cs="仿宋"/>
                <w:szCs w:val="21"/>
              </w:rPr>
              <w:t>2.</w:t>
            </w:r>
            <w:r>
              <w:rPr>
                <w:rFonts w:hint="eastAsia" w:asciiTheme="minorEastAsia" w:hAnsiTheme="minorEastAsia" w:eastAsiaTheme="minorEastAsia" w:cstheme="minorEastAsia"/>
                <w:kern w:val="0"/>
                <w:szCs w:val="21"/>
              </w:rPr>
              <w:t>实际开展的产前诊断技术项目</w:t>
            </w:r>
            <w:r>
              <w:rPr>
                <w:rFonts w:hint="eastAsia" w:asciiTheme="minorEastAsia" w:hAnsiTheme="minorEastAsia" w:eastAsiaTheme="minorEastAsia" w:cstheme="minorEastAsia"/>
                <w:szCs w:val="21"/>
              </w:rPr>
              <w:t>与《母婴保健技术服务执业许可证》核准项目相符；</w:t>
            </w:r>
          </w:p>
          <w:p>
            <w:pPr>
              <w:rPr>
                <w:rFonts w:ascii="宋体" w:hAnsi="宋体" w:cs="仿宋"/>
                <w:szCs w:val="21"/>
              </w:rPr>
            </w:pPr>
            <w:r>
              <w:rPr>
                <w:rFonts w:hint="eastAsia" w:ascii="宋体" w:hAnsi="宋体" w:cs="仿宋"/>
                <w:szCs w:val="21"/>
              </w:rPr>
              <w:t>3.医疗保健机构应当把《母婴保健技术服务执业许可证》悬挂在明显处所；</w:t>
            </w:r>
          </w:p>
          <w:p>
            <w:pPr>
              <w:rPr>
                <w:rFonts w:ascii="宋体" w:hAnsi="宋体" w:cs="仿宋"/>
                <w:szCs w:val="21"/>
              </w:rPr>
            </w:pPr>
            <w:r>
              <w:rPr>
                <w:rFonts w:hint="eastAsia" w:ascii="宋体" w:hAnsi="宋体" w:cs="仿宋"/>
                <w:szCs w:val="21"/>
              </w:rPr>
              <w:t>4.医疗机构使用名称与核准名称相符；</w:t>
            </w:r>
          </w:p>
          <w:p>
            <w:pPr>
              <w:spacing w:line="260" w:lineRule="exact"/>
              <w:rPr>
                <w:rFonts w:ascii="宋体" w:hAnsi="宋体" w:cs="仿宋"/>
                <w:szCs w:val="21"/>
              </w:rPr>
            </w:pPr>
            <w:r>
              <w:rPr>
                <w:rFonts w:hint="eastAsia" w:ascii="宋体" w:hAnsi="宋体" w:cs="仿宋"/>
                <w:szCs w:val="21"/>
              </w:rPr>
              <w:t>5.产前诊断机构与产前筛查机构建立合作关系的应向省级卫生健康行政部门备案；</w:t>
            </w:r>
          </w:p>
          <w:p>
            <w:pPr>
              <w:tabs>
                <w:tab w:val="left" w:pos="312"/>
              </w:tabs>
              <w:spacing w:line="260" w:lineRule="exact"/>
              <w:rPr>
                <w:rFonts w:ascii="宋体" w:hAnsi="宋体" w:cs="仿宋"/>
                <w:szCs w:val="21"/>
              </w:rPr>
            </w:pPr>
            <w:r>
              <w:rPr>
                <w:rFonts w:hint="eastAsia" w:ascii="宋体" w:hAnsi="宋体" w:cs="仿宋"/>
                <w:szCs w:val="21"/>
              </w:rPr>
              <w:t>6.开展孕妇外周血胎儿游离DNA实验室检测的机构应具备临床基因扩增检验实验室资质；</w:t>
            </w:r>
          </w:p>
          <w:p>
            <w:pPr>
              <w:spacing w:line="260" w:lineRule="exact"/>
              <w:rPr>
                <w:rFonts w:ascii="宋体" w:hAnsi="宋体" w:cs="仿宋"/>
                <w:szCs w:val="21"/>
              </w:rPr>
            </w:pPr>
            <w:r>
              <w:rPr>
                <w:rFonts w:hint="eastAsia" w:ascii="宋体" w:hAnsi="宋体" w:cs="仿宋"/>
                <w:szCs w:val="21"/>
              </w:rPr>
              <w:t>7.产前诊断机构与其他具备高通量基因测序等分子遗传技术能力的医疗机构合作时，双方应当签订协议并向省级卫生健康行政部门备案。</w:t>
            </w:r>
          </w:p>
          <w:p>
            <w:pPr>
              <w:spacing w:line="260" w:lineRule="exact"/>
              <w:rPr>
                <w:rFonts w:ascii="宋体" w:hAnsi="宋体" w:cs="仿宋"/>
                <w:szCs w:val="21"/>
              </w:rPr>
            </w:pPr>
          </w:p>
          <w:p>
            <w:pPr>
              <w:spacing w:line="260" w:lineRule="exact"/>
              <w:rPr>
                <w:rFonts w:ascii="宋体" w:hAnsi="宋体" w:cs="仿宋"/>
                <w:szCs w:val="21"/>
              </w:rPr>
            </w:pPr>
          </w:p>
        </w:tc>
        <w:tc>
          <w:tcPr>
            <w:tcW w:w="4846" w:type="dxa"/>
            <w:tcBorders>
              <w:tl2br w:val="nil"/>
              <w:tr2bl w:val="nil"/>
            </w:tcBorders>
            <w:vAlign w:val="center"/>
          </w:tcPr>
          <w:p>
            <w:pPr>
              <w:widowControl/>
              <w:rPr>
                <w:rFonts w:ascii="宋体" w:hAnsi="宋体" w:cs="仿宋"/>
                <w:szCs w:val="21"/>
              </w:rPr>
            </w:pPr>
            <w:r>
              <w:rPr>
                <w:rFonts w:hint="eastAsia" w:ascii="宋体" w:hAnsi="宋体" w:cs="仿宋"/>
                <w:szCs w:val="21"/>
              </w:rPr>
              <w:t>1.查看《母婴保健技术服务执业许可证》正本、副本，合法有效并在有效期内，</w:t>
            </w:r>
            <w:r>
              <w:rPr>
                <w:rFonts w:hint="eastAsia" w:asciiTheme="minorEastAsia" w:hAnsiTheme="minorEastAsia" w:eastAsiaTheme="minorEastAsia" w:cstheme="minorEastAsia"/>
                <w:kern w:val="0"/>
                <w:szCs w:val="21"/>
              </w:rPr>
              <w:t>开展产前诊断技术的《母婴保健技术服务执业许可证》每三年校验一次；</w:t>
            </w:r>
          </w:p>
          <w:p>
            <w:pPr>
              <w:spacing w:line="260" w:lineRule="exact"/>
              <w:rPr>
                <w:rFonts w:ascii="宋体" w:hAnsi="宋体" w:cs="仿宋"/>
                <w:szCs w:val="21"/>
              </w:rPr>
            </w:pPr>
            <w:r>
              <w:rPr>
                <w:rFonts w:hint="eastAsia" w:ascii="宋体" w:hAnsi="宋体" w:cs="仿宋"/>
                <w:szCs w:val="21"/>
              </w:rPr>
              <w:t>2.医疗机构执业地点与《母婴保健技术服务执业许可证》载明地址一致。</w:t>
            </w:r>
          </w:p>
          <w:p>
            <w:pPr>
              <w:spacing w:line="260" w:lineRule="exact"/>
              <w:rPr>
                <w:rFonts w:ascii="宋体" w:hAnsi="宋体" w:cs="仿宋"/>
                <w:szCs w:val="21"/>
              </w:rPr>
            </w:pPr>
            <w:r>
              <w:rPr>
                <w:rFonts w:hint="eastAsia" w:ascii="宋体" w:hAnsi="宋体" w:cs="仿宋"/>
                <w:szCs w:val="21"/>
              </w:rPr>
              <w:t>3.了解许可项目和备案的项目。</w:t>
            </w:r>
          </w:p>
          <w:p>
            <w:pPr>
              <w:spacing w:line="240" w:lineRule="exact"/>
              <w:rPr>
                <w:rFonts w:ascii="宋体" w:hAnsi="宋体" w:cs="仿宋"/>
                <w:szCs w:val="21"/>
              </w:rPr>
            </w:pPr>
            <w:r>
              <w:rPr>
                <w:rFonts w:hint="eastAsia" w:ascii="宋体" w:hAnsi="宋体" w:cs="仿宋"/>
                <w:szCs w:val="21"/>
              </w:rPr>
              <w:t>4.查看产前诊断机构与开展无创DNA采血的产前筛查机构是否与签订合作协议。</w:t>
            </w:r>
          </w:p>
          <w:p>
            <w:pPr>
              <w:spacing w:line="240" w:lineRule="exact"/>
              <w:rPr>
                <w:rFonts w:ascii="宋体" w:hAnsi="宋体" w:cs="仿宋"/>
                <w:szCs w:val="21"/>
              </w:rPr>
            </w:pPr>
            <w:r>
              <w:rPr>
                <w:rFonts w:hint="eastAsia" w:ascii="宋体" w:hAnsi="宋体" w:cs="仿宋"/>
                <w:szCs w:val="21"/>
              </w:rPr>
              <w:t>5.查看向省级卫生健康行政部门备案凭证。</w:t>
            </w:r>
          </w:p>
          <w:p>
            <w:pPr>
              <w:spacing w:line="240" w:lineRule="exact"/>
              <w:rPr>
                <w:rFonts w:ascii="宋体" w:hAnsi="宋体" w:cs="仿宋"/>
                <w:szCs w:val="21"/>
              </w:rPr>
            </w:pPr>
            <w:r>
              <w:rPr>
                <w:rFonts w:hint="eastAsia" w:ascii="宋体" w:hAnsi="宋体" w:cs="仿宋"/>
                <w:szCs w:val="21"/>
              </w:rPr>
              <w:t>6.查看开展无创DNA血标本来源登记及交接记录，看标本是否来源于有资质的产前筛查机构或门诊。</w:t>
            </w:r>
          </w:p>
          <w:p>
            <w:pPr>
              <w:spacing w:line="240" w:lineRule="exact"/>
              <w:rPr>
                <w:rFonts w:ascii="宋体" w:hAnsi="宋体" w:cs="仿宋"/>
                <w:szCs w:val="21"/>
              </w:rPr>
            </w:pPr>
            <w:r>
              <w:rPr>
                <w:rFonts w:hint="eastAsia" w:ascii="宋体" w:hAnsi="宋体" w:cs="仿宋"/>
                <w:szCs w:val="21"/>
              </w:rPr>
              <w:t>7.查看无创DNA检测机构是否在《医疗机构执业许可证》诊疗科目核准有临床细胞分子遗传学专业，且经临床基因扩增检验实验室备案的医疗机构，即是否取得《临床基因扩增检验实验室技术验收合格证书》。</w:t>
            </w:r>
          </w:p>
          <w:p>
            <w:pPr>
              <w:spacing w:line="240" w:lineRule="exact"/>
              <w:rPr>
                <w:rFonts w:ascii="宋体" w:hAnsi="宋体" w:cs="仿宋"/>
                <w:szCs w:val="21"/>
              </w:rPr>
            </w:pPr>
            <w:r>
              <w:rPr>
                <w:rFonts w:hint="eastAsia" w:ascii="宋体" w:hAnsi="宋体" w:cs="仿宋"/>
                <w:szCs w:val="21"/>
              </w:rPr>
              <w:t>8.开展无创DNA检测的机构是否取得产前诊断类《母婴保健技术服务执业许可证》。</w:t>
            </w:r>
          </w:p>
          <w:p>
            <w:pPr>
              <w:spacing w:line="240" w:lineRule="exact"/>
              <w:rPr>
                <w:rFonts w:ascii="宋体" w:hAnsi="宋体" w:cs="仿宋"/>
                <w:szCs w:val="21"/>
              </w:rPr>
            </w:pPr>
            <w:r>
              <w:rPr>
                <w:rFonts w:hint="eastAsia" w:ascii="宋体" w:hAnsi="宋体" w:cs="仿宋"/>
                <w:szCs w:val="21"/>
              </w:rPr>
              <w:t>9.查看产前诊断机构与其他具备高通量基因测序等分子遗传技术能力的医疗机构合作协议及备案凭证。</w:t>
            </w:r>
          </w:p>
        </w:tc>
        <w:tc>
          <w:tcPr>
            <w:tcW w:w="3687" w:type="dxa"/>
            <w:gridSpan w:val="3"/>
            <w:tcBorders>
              <w:tl2br w:val="nil"/>
              <w:tr2bl w:val="nil"/>
            </w:tcBorders>
            <w:vAlign w:val="center"/>
          </w:tcPr>
          <w:p>
            <w:pPr>
              <w:spacing w:line="260" w:lineRule="exact"/>
              <w:rPr>
                <w:rFonts w:ascii="宋体" w:hAnsi="宋体" w:cs="仿宋"/>
                <w:szCs w:val="21"/>
              </w:rPr>
            </w:pPr>
            <w:r>
              <w:rPr>
                <w:rFonts w:hint="eastAsia" w:ascii="宋体" w:hAnsi="宋体" w:cs="仿宋"/>
                <w:szCs w:val="21"/>
              </w:rPr>
              <w:t>1.未取得《母婴保健技术服务执业许可证》不进行评分</w:t>
            </w:r>
          </w:p>
          <w:p>
            <w:pPr>
              <w:spacing w:line="260" w:lineRule="exact"/>
              <w:rPr>
                <w:rFonts w:ascii="宋体" w:hAnsi="宋体" w:cs="仿宋"/>
                <w:szCs w:val="21"/>
              </w:rPr>
            </w:pPr>
            <w:r>
              <w:rPr>
                <w:rFonts w:hint="eastAsia" w:ascii="宋体" w:hAnsi="宋体" w:cs="仿宋"/>
                <w:szCs w:val="21"/>
              </w:rPr>
              <w:t>2.《母婴保健技术服务执业许可证》未及时校验0分。</w:t>
            </w:r>
          </w:p>
          <w:p>
            <w:pPr>
              <w:spacing w:line="260" w:lineRule="exact"/>
              <w:rPr>
                <w:rFonts w:ascii="宋体" w:hAnsi="宋体" w:cs="仿宋"/>
                <w:szCs w:val="21"/>
              </w:rPr>
            </w:pPr>
            <w:r>
              <w:rPr>
                <w:rFonts w:hint="eastAsia" w:ascii="宋体" w:hAnsi="宋体" w:cs="仿宋"/>
                <w:szCs w:val="21"/>
              </w:rPr>
              <w:t>3.使用名称与核准名称不相符扣2分。</w:t>
            </w:r>
          </w:p>
          <w:p>
            <w:pPr>
              <w:spacing w:line="260" w:lineRule="exact"/>
              <w:rPr>
                <w:rFonts w:ascii="宋体" w:hAnsi="宋体" w:cs="仿宋"/>
                <w:szCs w:val="21"/>
              </w:rPr>
            </w:pPr>
            <w:r>
              <w:rPr>
                <w:rFonts w:hint="eastAsia" w:ascii="宋体" w:hAnsi="宋体" w:cs="仿宋"/>
                <w:szCs w:val="21"/>
              </w:rPr>
              <w:t>4.未及时办理变更手续，发现一项扣2分，扣完为止。</w:t>
            </w:r>
          </w:p>
          <w:p>
            <w:pPr>
              <w:spacing w:line="240" w:lineRule="exact"/>
              <w:rPr>
                <w:rFonts w:ascii="宋体" w:hAnsi="宋体" w:cs="仿宋"/>
                <w:szCs w:val="21"/>
              </w:rPr>
            </w:pPr>
            <w:r>
              <w:rPr>
                <w:rFonts w:hint="eastAsia" w:ascii="宋体" w:hAnsi="宋体" w:cs="仿宋"/>
                <w:szCs w:val="21"/>
              </w:rPr>
              <w:t>5.产前诊断机构与开展无创DNA采血的产前筛查机构有业务往来，但未签订合作协议的，扣5分。</w:t>
            </w:r>
          </w:p>
          <w:p>
            <w:pPr>
              <w:spacing w:line="240" w:lineRule="exact"/>
              <w:rPr>
                <w:rFonts w:ascii="宋体" w:hAnsi="宋体" w:cs="仿宋"/>
                <w:szCs w:val="21"/>
              </w:rPr>
            </w:pPr>
            <w:r>
              <w:rPr>
                <w:rFonts w:hint="eastAsia" w:ascii="宋体" w:hAnsi="宋体" w:cs="仿宋"/>
                <w:szCs w:val="21"/>
              </w:rPr>
              <w:t>6.有协议但未向省级卫生健康行政部门备案的扣2分。</w:t>
            </w:r>
          </w:p>
          <w:p>
            <w:pPr>
              <w:spacing w:line="240" w:lineRule="exact"/>
              <w:rPr>
                <w:rFonts w:ascii="宋体" w:hAnsi="宋体" w:cs="仿宋"/>
                <w:szCs w:val="21"/>
              </w:rPr>
            </w:pPr>
            <w:r>
              <w:rPr>
                <w:rFonts w:hint="eastAsia" w:ascii="宋体" w:hAnsi="宋体" w:cs="仿宋"/>
                <w:szCs w:val="21"/>
              </w:rPr>
              <w:t>7.产前诊断机构与无产前筛查资质的医疗机构签订无创DNA协议的，扣8分。</w:t>
            </w:r>
          </w:p>
          <w:p>
            <w:pPr>
              <w:spacing w:line="240" w:lineRule="exact"/>
              <w:rPr>
                <w:rFonts w:ascii="宋体" w:hAnsi="宋体" w:cs="仿宋"/>
                <w:szCs w:val="21"/>
              </w:rPr>
            </w:pPr>
            <w:r>
              <w:rPr>
                <w:rFonts w:hint="eastAsia" w:ascii="宋体" w:hAnsi="宋体" w:cs="仿宋"/>
                <w:szCs w:val="21"/>
              </w:rPr>
              <w:t>8.开展无创DNA实验室检测的机构，《医疗机构执业许可证》诊疗科目核准无临床细胞分子遗传学专业的扣10分。</w:t>
            </w:r>
          </w:p>
          <w:p>
            <w:pPr>
              <w:spacing w:line="240" w:lineRule="exact"/>
              <w:rPr>
                <w:rFonts w:ascii="宋体" w:hAnsi="宋体" w:cs="仿宋"/>
                <w:szCs w:val="21"/>
              </w:rPr>
            </w:pPr>
            <w:r>
              <w:rPr>
                <w:rFonts w:hint="eastAsia" w:ascii="宋体" w:hAnsi="宋体" w:cs="仿宋"/>
                <w:szCs w:val="21"/>
              </w:rPr>
              <w:t>9.开展无创DNA，未取得《临床基因扩增检验实验室技术验收合格证书》的扣8分。</w:t>
            </w:r>
          </w:p>
          <w:p>
            <w:pPr>
              <w:spacing w:line="240" w:lineRule="exact"/>
              <w:rPr>
                <w:rFonts w:ascii="宋体" w:hAnsi="宋体" w:cs="仿宋"/>
                <w:szCs w:val="21"/>
              </w:rPr>
            </w:pPr>
            <w:r>
              <w:rPr>
                <w:rFonts w:hint="eastAsia" w:ascii="宋体" w:hAnsi="宋体" w:cs="仿宋"/>
                <w:szCs w:val="21"/>
              </w:rPr>
              <w:t>10.未取得产前诊断类《母婴保健技术服务执业许可证》开展无创DNA检测的，扣20分。</w:t>
            </w:r>
          </w:p>
        </w:tc>
        <w:tc>
          <w:tcPr>
            <w:tcW w:w="709" w:type="dxa"/>
            <w:gridSpan w:val="2"/>
            <w:tcBorders>
              <w:tl2br w:val="nil"/>
              <w:tr2bl w:val="nil"/>
            </w:tcBorders>
            <w:vAlign w:val="center"/>
          </w:tcPr>
          <w:p>
            <w:pPr>
              <w:spacing w:line="280" w:lineRule="exact"/>
              <w:jc w:val="center"/>
              <w:rPr>
                <w:rFonts w:ascii="宋体"/>
                <w:sz w:val="24"/>
                <w:szCs w:val="24"/>
              </w:rPr>
            </w:pPr>
            <w:r>
              <w:rPr>
                <w:rFonts w:hint="eastAsia" w:ascii="宋体" w:hAnsi="宋体" w:cs="宋体"/>
                <w:sz w:val="24"/>
                <w:szCs w:val="24"/>
              </w:rPr>
              <w:t>50</w:t>
            </w:r>
          </w:p>
        </w:tc>
        <w:tc>
          <w:tcPr>
            <w:tcW w:w="715" w:type="dxa"/>
            <w:gridSpan w:val="3"/>
            <w:tcBorders>
              <w:tl2br w:val="nil"/>
              <w:tr2bl w:val="nil"/>
            </w:tcBorders>
          </w:tcPr>
          <w:p>
            <w:pPr>
              <w:spacing w:line="240" w:lineRule="exact"/>
              <w:jc w:val="center"/>
              <w:rPr>
                <w:rFonts w:ascii="Times New Roman" w:hAnsi="Times New Roman"/>
              </w:rPr>
            </w:pPr>
          </w:p>
        </w:tc>
        <w:tc>
          <w:tcPr>
            <w:tcW w:w="820" w:type="dxa"/>
            <w:gridSpan w:val="3"/>
            <w:tcBorders>
              <w:tl2br w:val="nil"/>
              <w:tr2bl w:val="nil"/>
            </w:tcBorders>
          </w:tcPr>
          <w:p>
            <w:pPr>
              <w:spacing w:line="2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293" w:type="dxa"/>
            <w:tcBorders>
              <w:tl2br w:val="nil"/>
              <w:tr2bl w:val="nil"/>
            </w:tcBorders>
            <w:vAlign w:val="center"/>
          </w:tcPr>
          <w:p>
            <w:pPr>
              <w:spacing w:line="280" w:lineRule="exact"/>
              <w:jc w:val="center"/>
              <w:rPr>
                <w:rFonts w:ascii="Times New Roman" w:hAnsi="Times New Roman"/>
                <w:b/>
                <w:bCs/>
              </w:rPr>
            </w:pPr>
            <w:r>
              <w:rPr>
                <w:rFonts w:hint="eastAsia" w:ascii="Times New Roman" w:hAnsi="Times New Roman"/>
                <w:b/>
                <w:bCs/>
              </w:rPr>
              <w:t>人员资质</w:t>
            </w:r>
          </w:p>
        </w:tc>
        <w:tc>
          <w:tcPr>
            <w:tcW w:w="3240" w:type="dxa"/>
            <w:gridSpan w:val="4"/>
            <w:tcBorders>
              <w:tl2br w:val="nil"/>
              <w:tr2bl w:val="nil"/>
            </w:tcBorders>
            <w:vAlign w:val="center"/>
          </w:tcPr>
          <w:p>
            <w:pPr>
              <w:rPr>
                <w:rFonts w:ascii="宋体" w:hAnsi="宋体" w:cs="仿宋"/>
                <w:szCs w:val="21"/>
              </w:rPr>
            </w:pPr>
            <w:r>
              <w:rPr>
                <w:rFonts w:hint="eastAsia" w:ascii="宋体" w:hAnsi="宋体" w:cs="仿宋"/>
                <w:szCs w:val="21"/>
              </w:rPr>
              <w:t>(一) 从事临床工作的，应取得执业医师资格；</w:t>
            </w:r>
          </w:p>
          <w:p>
            <w:pPr>
              <w:rPr>
                <w:rFonts w:ascii="宋体" w:hAnsi="宋体" w:cs="仿宋"/>
                <w:szCs w:val="21"/>
              </w:rPr>
            </w:pPr>
            <w:r>
              <w:rPr>
                <w:rFonts w:hint="eastAsia" w:ascii="宋体" w:hAnsi="宋体" w:cs="仿宋"/>
                <w:szCs w:val="21"/>
              </w:rPr>
              <w:t>(二) 从事医技和辅助工作的，应取得相应卫生专业技术职称；</w:t>
            </w:r>
          </w:p>
          <w:p>
            <w:pPr>
              <w:rPr>
                <w:rFonts w:ascii="宋体" w:hAnsi="宋体" w:cs="仿宋"/>
                <w:szCs w:val="21"/>
              </w:rPr>
            </w:pPr>
            <w:r>
              <w:rPr>
                <w:rFonts w:hint="eastAsia" w:ascii="宋体" w:hAnsi="宋体" w:cs="仿宋"/>
                <w:szCs w:val="21"/>
              </w:rPr>
              <w:t>(三) 符合《从事产前诊断卫生专业技术人员的基本条件》；</w:t>
            </w:r>
          </w:p>
          <w:p>
            <w:pPr>
              <w:rPr>
                <w:rFonts w:ascii="宋体" w:hAnsi="宋体" w:cs="仿宋"/>
                <w:szCs w:val="21"/>
              </w:rPr>
            </w:pPr>
            <w:r>
              <w:rPr>
                <w:rFonts w:hint="eastAsia" w:ascii="宋体" w:hAnsi="宋体" w:cs="仿宋"/>
                <w:szCs w:val="21"/>
              </w:rPr>
              <w:t>(四) 经省级卫生健康主管部门考核合格，取得从事产前诊断的《母婴保健技术考核合格证书》或者《医师执业证书》中加注母婴保健技术（产前诊断类）考核合格的。</w:t>
            </w:r>
          </w:p>
        </w:tc>
        <w:tc>
          <w:tcPr>
            <w:tcW w:w="4846" w:type="dxa"/>
            <w:tcBorders>
              <w:tl2br w:val="nil"/>
              <w:tr2bl w:val="nil"/>
            </w:tcBorders>
          </w:tcPr>
          <w:p>
            <w:pPr>
              <w:rPr>
                <w:rFonts w:ascii="宋体" w:hAnsi="宋体" w:cs="仿宋"/>
                <w:szCs w:val="21"/>
              </w:rPr>
            </w:pPr>
          </w:p>
          <w:p>
            <w:pPr>
              <w:rPr>
                <w:rFonts w:ascii="宋体" w:hAnsi="宋体" w:cs="仿宋"/>
                <w:szCs w:val="21"/>
              </w:rPr>
            </w:pPr>
            <w:r>
              <w:rPr>
                <w:rFonts w:hint="eastAsia" w:ascii="宋体" w:hAnsi="宋体" w:cs="仿宋"/>
                <w:szCs w:val="21"/>
              </w:rPr>
              <w:t>1.随机抽查遗传咨询门诊医生和签署产前诊断报告单的人员等，核查是否具有《医师资格证书》和《医师执业证书》，执业范围是否为妇产科或相关专业。是否具有产前诊断类《母婴保健技术考核合格证书》（遗传咨询）。</w:t>
            </w:r>
          </w:p>
          <w:p>
            <w:pPr>
              <w:rPr>
                <w:rFonts w:ascii="宋体" w:hAnsi="宋体" w:cs="仿宋"/>
                <w:szCs w:val="21"/>
              </w:rPr>
            </w:pPr>
            <w:r>
              <w:rPr>
                <w:rFonts w:hint="eastAsia" w:ascii="宋体" w:hAnsi="宋体" w:cs="仿宋"/>
                <w:szCs w:val="21"/>
              </w:rPr>
              <w:t>2.现场查看胎儿取样（如：胎儿羊水、绒毛、脐带血标本取样）操作人员或产前诊断档案中羊水穿刺术者是否具有产前诊断类《母婴保健技术考核合格证书》（遗传咨询）。</w:t>
            </w:r>
          </w:p>
          <w:p>
            <w:pPr>
              <w:rPr>
                <w:rFonts w:ascii="宋体" w:hAnsi="宋体" w:cs="仿宋"/>
                <w:szCs w:val="21"/>
              </w:rPr>
            </w:pPr>
            <w:r>
              <w:rPr>
                <w:rFonts w:hint="eastAsia" w:ascii="宋体" w:hAnsi="宋体" w:cs="仿宋"/>
                <w:szCs w:val="21"/>
              </w:rPr>
              <w:t>3.查看出具超声产前诊断报告如：胎儿超声心动图、系统性超声检查的工作人员是否具有产前诊断类《母婴保健技术考核合格证书》（医学影像）。</w:t>
            </w:r>
          </w:p>
          <w:p>
            <w:pPr>
              <w:rPr>
                <w:rFonts w:ascii="宋体" w:hAnsi="宋体" w:cs="仿宋"/>
                <w:szCs w:val="21"/>
              </w:rPr>
            </w:pPr>
            <w:r>
              <w:rPr>
                <w:rFonts w:hint="eastAsia" w:ascii="宋体" w:hAnsi="宋体" w:cs="仿宋"/>
                <w:szCs w:val="21"/>
              </w:rPr>
              <w:t>4.抽查引产的病历，查看签署诊断胎儿畸形或胎儿发育异常的诊断报告单（如超声报告单或遗传学产前诊断报告单）人员是否具有资质。</w:t>
            </w:r>
          </w:p>
          <w:p>
            <w:pPr>
              <w:tabs>
                <w:tab w:val="left" w:pos="312"/>
              </w:tabs>
              <w:rPr>
                <w:rFonts w:ascii="宋体" w:hAnsi="宋体" w:cs="仿宋"/>
                <w:szCs w:val="21"/>
              </w:rPr>
            </w:pPr>
            <w:r>
              <w:rPr>
                <w:rFonts w:hint="eastAsia" w:ascii="宋体" w:hAnsi="宋体" w:cs="仿宋"/>
                <w:szCs w:val="21"/>
              </w:rPr>
              <w:t>5.抽查现场正在从事孕妇外周血胎儿游离DNA产前检测的实验室人员并登记姓名，查看是否省级以上卫生健康行政部门组织的培训，是否取得临床基因扩增检验技术培训合格证书。</w:t>
            </w:r>
          </w:p>
          <w:p>
            <w:pPr>
              <w:rPr>
                <w:rFonts w:ascii="宋体" w:hAnsi="宋体" w:cs="仿宋"/>
                <w:szCs w:val="21"/>
              </w:rPr>
            </w:pPr>
            <w:r>
              <w:rPr>
                <w:rFonts w:hint="eastAsia" w:ascii="宋体" w:hAnsi="宋体" w:cs="仿宋"/>
                <w:szCs w:val="21"/>
              </w:rPr>
              <w:t>6.现场抽查无创DNA临床报告10份，是否由副高以上职称并具备产前诊断资质的临床医师出具。</w:t>
            </w:r>
          </w:p>
          <w:p>
            <w:pPr>
              <w:rPr>
                <w:rFonts w:ascii="宋体" w:hAnsi="宋体" w:cs="仿宋"/>
                <w:szCs w:val="21"/>
              </w:rPr>
            </w:pPr>
          </w:p>
        </w:tc>
        <w:tc>
          <w:tcPr>
            <w:tcW w:w="3687" w:type="dxa"/>
            <w:gridSpan w:val="3"/>
            <w:tcBorders>
              <w:tl2br w:val="nil"/>
              <w:tr2bl w:val="nil"/>
            </w:tcBorders>
          </w:tcPr>
          <w:p>
            <w:pPr>
              <w:rPr>
                <w:rFonts w:ascii="宋体" w:hAnsi="宋体" w:cs="仿宋"/>
                <w:szCs w:val="21"/>
              </w:rPr>
            </w:pPr>
          </w:p>
          <w:p>
            <w:pPr>
              <w:tabs>
                <w:tab w:val="left" w:pos="312"/>
              </w:tabs>
              <w:rPr>
                <w:rFonts w:ascii="宋体" w:hAnsi="宋体" w:cs="仿宋"/>
                <w:szCs w:val="21"/>
              </w:rPr>
            </w:pPr>
            <w:r>
              <w:rPr>
                <w:rFonts w:hint="eastAsia" w:ascii="宋体" w:hAnsi="宋体" w:cs="仿宋"/>
                <w:szCs w:val="21"/>
              </w:rPr>
              <w:t>1.从事产前诊断的遗传咨询、检验、超声影像医师或相关技术人员未取得产前诊断资质的，发现一人扣3分，扣完为止；</w:t>
            </w:r>
          </w:p>
          <w:p>
            <w:pPr>
              <w:tabs>
                <w:tab w:val="left" w:pos="312"/>
              </w:tabs>
              <w:rPr>
                <w:rFonts w:ascii="宋体" w:hAnsi="宋体" w:cs="仿宋"/>
                <w:szCs w:val="21"/>
              </w:rPr>
            </w:pPr>
            <w:r>
              <w:rPr>
                <w:rFonts w:hint="eastAsia" w:ascii="宋体" w:hAnsi="宋体" w:cs="仿宋"/>
                <w:szCs w:val="21"/>
              </w:rPr>
              <w:t>2.从事孕妇外周血胎儿游离DNA产前检测的实验室人员未取得临床基因扩增检验技术培训合格证书的，发现一人扣2分，扣完为止；</w:t>
            </w:r>
          </w:p>
          <w:p>
            <w:pPr>
              <w:rPr>
                <w:rFonts w:ascii="宋体" w:hAnsi="宋体" w:cs="仿宋"/>
                <w:szCs w:val="21"/>
              </w:rPr>
            </w:pPr>
            <w:r>
              <w:rPr>
                <w:rFonts w:hint="eastAsia" w:ascii="宋体" w:hAnsi="宋体" w:cs="仿宋"/>
                <w:szCs w:val="21"/>
              </w:rPr>
              <w:t>3.无创DNA临床报告未经副高以上职称并具备产前诊断资质的临床医师出具的，发现一人扣3分，扣完为止。</w:t>
            </w:r>
          </w:p>
        </w:tc>
        <w:tc>
          <w:tcPr>
            <w:tcW w:w="709" w:type="dxa"/>
            <w:gridSpan w:val="2"/>
            <w:tcBorders>
              <w:tl2br w:val="nil"/>
              <w:tr2bl w:val="nil"/>
            </w:tcBorders>
            <w:vAlign w:val="center"/>
          </w:tcPr>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r>
              <w:rPr>
                <w:rFonts w:hint="eastAsia" w:ascii="宋体" w:hAnsi="宋体" w:cs="宋体"/>
                <w:sz w:val="24"/>
                <w:szCs w:val="24"/>
              </w:rPr>
              <w:t>30</w:t>
            </w: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p>
            <w:pPr>
              <w:spacing w:line="280" w:lineRule="exact"/>
              <w:jc w:val="center"/>
              <w:rPr>
                <w:rFonts w:ascii="宋体" w:hAnsi="宋体" w:cs="宋体"/>
                <w:sz w:val="24"/>
                <w:szCs w:val="24"/>
              </w:rPr>
            </w:pPr>
          </w:p>
        </w:tc>
        <w:tc>
          <w:tcPr>
            <w:tcW w:w="715" w:type="dxa"/>
            <w:gridSpan w:val="3"/>
            <w:tcBorders>
              <w:tl2br w:val="nil"/>
              <w:tr2bl w:val="nil"/>
            </w:tcBorders>
          </w:tcPr>
          <w:p>
            <w:pPr>
              <w:spacing w:line="280" w:lineRule="exact"/>
              <w:rPr>
                <w:rFonts w:ascii="Times New Roman" w:hAnsi="Times New Roman"/>
              </w:rPr>
            </w:pPr>
          </w:p>
        </w:tc>
        <w:tc>
          <w:tcPr>
            <w:tcW w:w="820" w:type="dxa"/>
            <w:gridSpan w:val="3"/>
            <w:tcBorders>
              <w:tl2br w:val="nil"/>
              <w:tr2bl w:val="nil"/>
            </w:tcBorders>
          </w:tcPr>
          <w:p>
            <w:pPr>
              <w:spacing w:line="2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1293" w:type="dxa"/>
            <w:tcBorders>
              <w:tl2br w:val="nil"/>
              <w:tr2bl w:val="nil"/>
            </w:tcBorders>
            <w:vAlign w:val="center"/>
          </w:tcPr>
          <w:p>
            <w:pPr>
              <w:jc w:val="center"/>
              <w:rPr>
                <w:rFonts w:ascii="Times New Roman" w:hAnsi="Times New Roman"/>
                <w:b/>
                <w:bCs/>
              </w:rPr>
            </w:pPr>
            <w:r>
              <w:rPr>
                <w:rFonts w:hint="eastAsia" w:ascii="Times New Roman" w:hAnsi="Times New Roman"/>
                <w:b/>
                <w:bCs/>
              </w:rPr>
              <w:t>执业要求</w:t>
            </w:r>
          </w:p>
        </w:tc>
        <w:tc>
          <w:tcPr>
            <w:tcW w:w="3240" w:type="dxa"/>
            <w:gridSpan w:val="4"/>
            <w:tcBorders>
              <w:tl2br w:val="nil"/>
              <w:tr2bl w:val="nil"/>
            </w:tcBorders>
            <w:vAlign w:val="center"/>
          </w:tcPr>
          <w:p>
            <w:pPr>
              <w:tabs>
                <w:tab w:val="left" w:pos="312"/>
              </w:tabs>
              <w:rPr>
                <w:rFonts w:ascii="宋体" w:hAnsi="宋体" w:cs="仿宋"/>
                <w:szCs w:val="21"/>
              </w:rPr>
            </w:pPr>
          </w:p>
          <w:p>
            <w:pPr>
              <w:tabs>
                <w:tab w:val="left" w:pos="312"/>
              </w:tabs>
              <w:rPr>
                <w:rFonts w:ascii="宋体" w:hAnsi="宋体" w:cs="仿宋"/>
                <w:szCs w:val="21"/>
              </w:rPr>
            </w:pPr>
            <w:r>
              <w:rPr>
                <w:rFonts w:hint="eastAsia" w:ascii="宋体" w:hAnsi="宋体" w:cs="仿宋"/>
                <w:szCs w:val="21"/>
              </w:rPr>
              <w:t>1.书面告知与知情同意书。</w:t>
            </w:r>
          </w:p>
          <w:p>
            <w:pPr>
              <w:rPr>
                <w:rFonts w:ascii="宋体" w:hAnsi="宋体" w:cs="仿宋"/>
                <w:szCs w:val="21"/>
              </w:rPr>
            </w:pPr>
            <w:r>
              <w:rPr>
                <w:rFonts w:hint="eastAsia" w:ascii="宋体" w:hAnsi="宋体" w:cs="仿宋"/>
                <w:szCs w:val="21"/>
              </w:rPr>
              <w:t>2.查看胎儿染色体核型分析报告、产前筛查报告单，倒查是否有手术取材知情同意书（如：羊水穿刺、脐血穿刺）、产前筛查知情同意书。</w:t>
            </w:r>
          </w:p>
          <w:p>
            <w:pPr>
              <w:rPr>
                <w:rFonts w:ascii="宋体" w:hAnsi="宋体" w:cs="仿宋"/>
                <w:szCs w:val="21"/>
              </w:rPr>
            </w:pPr>
            <w:r>
              <w:rPr>
                <w:rFonts w:hint="eastAsia" w:ascii="宋体" w:hAnsi="宋体" w:cs="仿宋"/>
                <w:szCs w:val="21"/>
              </w:rPr>
              <w:t>3.查看产前诊断技术档案资料中有胎儿染色体异常的报告，查看医师是否将继续妊娠和终止妊娠可能出现的结果以及进一步处理意见，是否以书面的形式告知孕妇，由孕妇夫妻双方自行选择处理方案，并签署知情同意书。</w:t>
            </w:r>
          </w:p>
          <w:p>
            <w:pPr>
              <w:tabs>
                <w:tab w:val="left" w:pos="312"/>
              </w:tabs>
              <w:rPr>
                <w:rFonts w:ascii="宋体" w:hAnsi="宋体" w:cs="仿宋"/>
                <w:szCs w:val="21"/>
              </w:rPr>
            </w:pPr>
            <w:r>
              <w:rPr>
                <w:rFonts w:hint="eastAsia" w:ascii="宋体" w:hAnsi="宋体" w:cs="仿宋"/>
                <w:szCs w:val="21"/>
              </w:rPr>
              <w:t>4.产前诊断报告由2名以上经资格认定的执业医师签发，不得出具虚假产前诊断证明。</w:t>
            </w:r>
          </w:p>
          <w:p>
            <w:pPr>
              <w:tabs>
                <w:tab w:val="left" w:pos="312"/>
              </w:tabs>
              <w:rPr>
                <w:rFonts w:ascii="宋体" w:hAnsi="宋体" w:cs="仿宋"/>
                <w:szCs w:val="21"/>
              </w:rPr>
            </w:pPr>
          </w:p>
          <w:p>
            <w:pPr>
              <w:tabs>
                <w:tab w:val="left" w:pos="312"/>
              </w:tabs>
              <w:rPr>
                <w:rFonts w:ascii="宋体" w:hAnsi="宋体" w:cs="仿宋"/>
                <w:szCs w:val="21"/>
              </w:rPr>
            </w:pPr>
            <w:r>
              <w:rPr>
                <w:rFonts w:hint="eastAsia" w:ascii="宋体" w:hAnsi="宋体" w:cs="仿宋"/>
                <w:szCs w:val="21"/>
              </w:rPr>
              <w:t>5.产前诊断病历资料保存符合要求</w:t>
            </w:r>
          </w:p>
          <w:p>
            <w:pPr>
              <w:tabs>
                <w:tab w:val="left" w:pos="312"/>
              </w:tabs>
              <w:rPr>
                <w:rFonts w:ascii="宋体" w:hAnsi="宋体" w:cs="仿宋"/>
                <w:szCs w:val="21"/>
              </w:rPr>
            </w:pPr>
            <w:r>
              <w:rPr>
                <w:rFonts w:hint="eastAsia" w:ascii="宋体" w:hAnsi="宋体" w:cs="仿宋"/>
                <w:szCs w:val="21"/>
              </w:rPr>
              <w:t>6.医学需要的胎儿性别鉴定由省、自治区、直辖市卫生健康行政部门指定机构进行。</w:t>
            </w:r>
          </w:p>
          <w:p>
            <w:pPr>
              <w:tabs>
                <w:tab w:val="left" w:pos="312"/>
              </w:tabs>
              <w:rPr>
                <w:rFonts w:ascii="宋体" w:hAnsi="宋体" w:cs="仿宋"/>
                <w:szCs w:val="21"/>
              </w:rPr>
            </w:pPr>
            <w:r>
              <w:rPr>
                <w:rFonts w:hint="eastAsia" w:ascii="宋体" w:hAnsi="宋体" w:cs="仿宋"/>
                <w:szCs w:val="21"/>
              </w:rPr>
              <w:t>7.医学需要胎儿性别鉴定由三名以上副主任医师以上专业技术职称的专家集体审核签发。</w:t>
            </w:r>
          </w:p>
          <w:p>
            <w:pPr>
              <w:rPr>
                <w:rFonts w:ascii="宋体" w:hAnsi="宋体" w:cs="仿宋"/>
                <w:szCs w:val="21"/>
              </w:rPr>
            </w:pPr>
          </w:p>
        </w:tc>
        <w:tc>
          <w:tcPr>
            <w:tcW w:w="4846" w:type="dxa"/>
            <w:tcBorders>
              <w:tl2br w:val="nil"/>
              <w:tr2bl w:val="nil"/>
            </w:tcBorders>
          </w:tcPr>
          <w:p>
            <w:pPr>
              <w:rPr>
                <w:rFonts w:ascii="宋体" w:hAnsi="宋体" w:cs="仿宋"/>
                <w:szCs w:val="21"/>
              </w:rPr>
            </w:pPr>
          </w:p>
          <w:p>
            <w:pPr>
              <w:rPr>
                <w:rFonts w:ascii="宋体" w:hAnsi="宋体" w:cs="仿宋"/>
                <w:szCs w:val="21"/>
              </w:rPr>
            </w:pPr>
            <w:r>
              <w:rPr>
                <w:rFonts w:hint="eastAsia" w:ascii="宋体" w:hAnsi="宋体" w:cs="仿宋"/>
                <w:szCs w:val="21"/>
              </w:rPr>
              <w:t>1.查看围产保健门诊、高危门诊、优生咨询门诊等相关科室的登记资料，核查存在有《产前诊断技术管理办法》第十七条所列情形时，是否书面告知孕妇或其家属进行产前诊断。</w:t>
            </w:r>
          </w:p>
          <w:p>
            <w:pPr>
              <w:rPr>
                <w:rFonts w:ascii="宋体" w:hAnsi="宋体" w:cs="仿宋"/>
                <w:szCs w:val="21"/>
              </w:rPr>
            </w:pPr>
            <w:r>
              <w:rPr>
                <w:rFonts w:hint="eastAsia" w:ascii="宋体" w:hAnsi="宋体" w:cs="仿宋"/>
                <w:szCs w:val="21"/>
              </w:rPr>
              <w:t>2.发现胎儿异常的情况下，经治医师未将继续妊娠和终止妊娠可能出现的结果以及进一步处理意见，以书面的形式告知孕妇，并签署知情同意书。</w:t>
            </w:r>
          </w:p>
          <w:p>
            <w:pPr>
              <w:rPr>
                <w:rFonts w:ascii="宋体" w:hAnsi="宋体" w:cs="仿宋"/>
                <w:szCs w:val="21"/>
              </w:rPr>
            </w:pPr>
            <w:r>
              <w:rPr>
                <w:rFonts w:hint="eastAsia" w:ascii="宋体" w:hAnsi="宋体" w:cs="仿宋"/>
                <w:szCs w:val="21"/>
              </w:rPr>
              <w:t>3.抽查针对性超声检查报告单、遗传学产前诊断报告单、孕妇外周血胎儿游离DNA检测报告等是否由2名以上经资格认定的相关技术人员核对后方可签发；审核人员是否具备副高级以上检验或相关专业的技术职称/职务。</w:t>
            </w:r>
          </w:p>
          <w:p>
            <w:pPr>
              <w:rPr>
                <w:rFonts w:ascii="宋体" w:hAnsi="宋体" w:cs="仿宋"/>
                <w:szCs w:val="21"/>
              </w:rPr>
            </w:pPr>
            <w:r>
              <w:rPr>
                <w:rFonts w:hint="eastAsia" w:ascii="宋体" w:hAnsi="宋体" w:cs="仿宋"/>
                <w:szCs w:val="21"/>
              </w:rPr>
              <w:t>4.抽查产前诊断报告，倒查实验室相关记录、原始登记、标本采集记录等，核查报告单的真实性。</w:t>
            </w:r>
          </w:p>
          <w:p>
            <w:pPr>
              <w:rPr>
                <w:rFonts w:ascii="宋体" w:hAnsi="宋体" w:cs="仿宋"/>
                <w:szCs w:val="21"/>
              </w:rPr>
            </w:pPr>
          </w:p>
          <w:p>
            <w:pPr>
              <w:rPr>
                <w:rFonts w:ascii="宋体" w:hAnsi="宋体" w:cs="仿宋"/>
                <w:szCs w:val="21"/>
              </w:rPr>
            </w:pPr>
            <w:r>
              <w:rPr>
                <w:rFonts w:hint="eastAsia" w:ascii="宋体" w:hAnsi="宋体" w:cs="仿宋"/>
                <w:szCs w:val="21"/>
              </w:rPr>
              <w:t>5.查看产前诊断病历是否包含术前相关检查登记、知情同意书、细胞遗传学分析实验室记录，是否保存20年以上。</w:t>
            </w:r>
          </w:p>
          <w:p>
            <w:pPr>
              <w:rPr>
                <w:rFonts w:ascii="宋体" w:hAnsi="宋体" w:cs="仿宋"/>
                <w:szCs w:val="21"/>
              </w:rPr>
            </w:pPr>
          </w:p>
          <w:p>
            <w:pPr>
              <w:rPr>
                <w:rFonts w:ascii="宋体" w:hAnsi="宋体" w:cs="仿宋"/>
                <w:szCs w:val="21"/>
              </w:rPr>
            </w:pPr>
            <w:r>
              <w:rPr>
                <w:rFonts w:hint="eastAsia" w:ascii="宋体" w:hAnsi="宋体" w:cs="仿宋"/>
                <w:szCs w:val="21"/>
              </w:rPr>
              <w:t>6.细胞遗传实验室工作日志（细胞遗传及染色体标本制备记录）、产前筛查申请单、知情同意书、实验数据记录是否保存5年以上。</w:t>
            </w:r>
          </w:p>
          <w:p>
            <w:pPr>
              <w:rPr>
                <w:rFonts w:ascii="宋体" w:hAnsi="宋体" w:cs="仿宋"/>
                <w:szCs w:val="21"/>
              </w:rPr>
            </w:pPr>
            <w:r>
              <w:rPr>
                <w:rFonts w:hint="eastAsia" w:ascii="宋体" w:hAnsi="宋体" w:cs="仿宋"/>
                <w:szCs w:val="21"/>
              </w:rPr>
              <w:t>7.查看出具性别鉴定报告的机构是否有省、自治区、直辖市卫生健康行政部门指定性别鉴定的文件。</w:t>
            </w:r>
          </w:p>
          <w:p>
            <w:pPr>
              <w:rPr>
                <w:rFonts w:ascii="宋体" w:hAnsi="宋体" w:cs="仿宋"/>
                <w:szCs w:val="21"/>
              </w:rPr>
            </w:pPr>
            <w:r>
              <w:rPr>
                <w:rFonts w:hint="eastAsia" w:ascii="宋体" w:hAnsi="宋体" w:cs="仿宋"/>
                <w:szCs w:val="21"/>
              </w:rPr>
              <w:t>8.查看性别鉴定报告原始档案中签名人员《医师执业证书》、职称证书、产前诊断类《母婴保健技术考核合格证书》。</w:t>
            </w:r>
          </w:p>
          <w:p>
            <w:pPr>
              <w:rPr>
                <w:rFonts w:ascii="宋体" w:hAnsi="宋体" w:cs="仿宋"/>
                <w:szCs w:val="21"/>
              </w:rPr>
            </w:pPr>
          </w:p>
        </w:tc>
        <w:tc>
          <w:tcPr>
            <w:tcW w:w="3687" w:type="dxa"/>
            <w:gridSpan w:val="3"/>
            <w:tcBorders>
              <w:tl2br w:val="nil"/>
              <w:tr2bl w:val="nil"/>
            </w:tcBorders>
            <w:vAlign w:val="center"/>
          </w:tcPr>
          <w:p>
            <w:pPr>
              <w:ind w:firstLine="420" w:firstLineChars="200"/>
              <w:rPr>
                <w:rFonts w:ascii="宋体" w:hAnsi="宋体"/>
                <w:szCs w:val="21"/>
              </w:rPr>
            </w:pPr>
          </w:p>
          <w:p>
            <w:pPr>
              <w:rPr>
                <w:rFonts w:ascii="宋体" w:hAnsi="宋体" w:cs="仿宋"/>
                <w:szCs w:val="21"/>
              </w:rPr>
            </w:pPr>
            <w:r>
              <w:rPr>
                <w:rFonts w:hint="eastAsia" w:ascii="宋体" w:hAnsi="宋体" w:cs="仿宋"/>
                <w:szCs w:val="21"/>
              </w:rPr>
              <w:t>1.对《产前诊断技术管理办法》第十七条涉及的5种情形未进行书面告知的扣3分；</w:t>
            </w:r>
          </w:p>
          <w:p>
            <w:pPr>
              <w:rPr>
                <w:rFonts w:ascii="宋体" w:hAnsi="宋体"/>
                <w:szCs w:val="21"/>
              </w:rPr>
            </w:pPr>
            <w:r>
              <w:rPr>
                <w:rFonts w:hint="eastAsia" w:ascii="宋体" w:hAnsi="宋体"/>
                <w:szCs w:val="21"/>
              </w:rPr>
              <w:t>2.未签署</w:t>
            </w:r>
            <w:r>
              <w:rPr>
                <w:rFonts w:hint="eastAsia" w:ascii="宋体" w:hAnsi="宋体" w:cs="仿宋"/>
                <w:szCs w:val="21"/>
              </w:rPr>
              <w:t>手术取材知情同意书、产前筛查知情同意书、阳性报告处理意见知情同意书的发现一例扣2分；扣完为止；</w:t>
            </w:r>
          </w:p>
          <w:p>
            <w:pPr>
              <w:rPr>
                <w:rFonts w:ascii="宋体" w:hAnsi="宋体"/>
                <w:szCs w:val="21"/>
              </w:rPr>
            </w:pPr>
            <w:r>
              <w:rPr>
                <w:rFonts w:hint="eastAsia" w:ascii="宋体" w:hAnsi="宋体" w:cs="仿宋"/>
                <w:szCs w:val="21"/>
              </w:rPr>
              <w:t>3.出具产前诊断报告的医师不符合要求的，发现一人扣3分；扣完为止；</w:t>
            </w:r>
          </w:p>
          <w:p>
            <w:pPr>
              <w:rPr>
                <w:rFonts w:ascii="宋体" w:hAnsi="宋体"/>
                <w:szCs w:val="21"/>
              </w:rPr>
            </w:pPr>
            <w:r>
              <w:rPr>
                <w:rFonts w:hint="eastAsia" w:ascii="宋体" w:hAnsi="宋体"/>
                <w:szCs w:val="21"/>
              </w:rPr>
              <w:t>4.出具虚假医学证明文件的，扣8分；</w:t>
            </w:r>
          </w:p>
          <w:p>
            <w:pPr>
              <w:rPr>
                <w:rFonts w:ascii="宋体" w:hAnsi="宋体"/>
                <w:szCs w:val="21"/>
              </w:rPr>
            </w:pPr>
            <w:r>
              <w:rPr>
                <w:rFonts w:hint="eastAsia" w:ascii="宋体" w:hAnsi="宋体" w:cs="仿宋"/>
                <w:szCs w:val="21"/>
              </w:rPr>
              <w:t>5.病历资料保存不符合要求得扣5分。</w:t>
            </w:r>
          </w:p>
          <w:p>
            <w:pPr>
              <w:rPr>
                <w:rFonts w:ascii="宋体" w:hAnsi="宋体"/>
                <w:szCs w:val="21"/>
              </w:rPr>
            </w:pPr>
            <w:r>
              <w:rPr>
                <w:rFonts w:hint="eastAsia" w:ascii="宋体" w:hAnsi="宋体" w:cs="仿宋"/>
                <w:szCs w:val="21"/>
              </w:rPr>
              <w:t>6.出具医学需要胎儿性别鉴定的医师不符合要求的</w:t>
            </w:r>
            <w:r>
              <w:rPr>
                <w:rFonts w:hint="eastAsia" w:ascii="宋体" w:hAnsi="宋体"/>
                <w:szCs w:val="21"/>
              </w:rPr>
              <w:t>，发现一人扣3分。</w:t>
            </w:r>
          </w:p>
        </w:tc>
        <w:tc>
          <w:tcPr>
            <w:tcW w:w="709" w:type="dxa"/>
            <w:gridSpan w:val="2"/>
            <w:tcBorders>
              <w:tl2br w:val="nil"/>
              <w:tr2bl w:val="nil"/>
            </w:tcBorders>
            <w:vAlign w:val="center"/>
          </w:tcPr>
          <w:p>
            <w:pPr>
              <w:spacing w:line="280" w:lineRule="exact"/>
              <w:jc w:val="center"/>
              <w:rPr>
                <w:rFonts w:ascii="宋体" w:hAnsi="宋体" w:cs="宋体"/>
                <w:sz w:val="24"/>
                <w:szCs w:val="24"/>
              </w:rPr>
            </w:pPr>
            <w:r>
              <w:rPr>
                <w:rFonts w:hint="eastAsia" w:ascii="宋体" w:hAnsi="宋体" w:cs="宋体"/>
                <w:sz w:val="24"/>
                <w:szCs w:val="24"/>
              </w:rPr>
              <w:t>20</w:t>
            </w:r>
          </w:p>
        </w:tc>
        <w:tc>
          <w:tcPr>
            <w:tcW w:w="715" w:type="dxa"/>
            <w:gridSpan w:val="3"/>
            <w:tcBorders>
              <w:tl2br w:val="nil"/>
              <w:tr2bl w:val="nil"/>
            </w:tcBorders>
            <w:vAlign w:val="center"/>
          </w:tcPr>
          <w:p>
            <w:pPr>
              <w:spacing w:line="280" w:lineRule="exact"/>
              <w:rPr>
                <w:rFonts w:ascii="Times New Roman" w:hAnsi="Times New Roman"/>
              </w:rPr>
            </w:pPr>
          </w:p>
        </w:tc>
        <w:tc>
          <w:tcPr>
            <w:tcW w:w="820" w:type="dxa"/>
            <w:gridSpan w:val="3"/>
            <w:tcBorders>
              <w:tl2br w:val="nil"/>
              <w:tr2bl w:val="nil"/>
            </w:tcBorders>
            <w:vAlign w:val="center"/>
          </w:tcPr>
          <w:p>
            <w:pPr>
              <w:spacing w:line="280" w:lineRule="exac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0" w:hRule="atLeast"/>
          <w:jc w:val="center"/>
        </w:trPr>
        <w:tc>
          <w:tcPr>
            <w:tcW w:w="1293" w:type="dxa"/>
            <w:tcBorders>
              <w:tl2br w:val="nil"/>
              <w:tr2bl w:val="nil"/>
            </w:tcBorders>
            <w:vAlign w:val="center"/>
          </w:tcPr>
          <w:p>
            <w:pPr>
              <w:jc w:val="center"/>
              <w:rPr>
                <w:rFonts w:ascii="Times New Roman" w:hAnsi="Times New Roman"/>
                <w:b/>
                <w:bCs/>
                <w:color w:val="000000"/>
              </w:rPr>
            </w:pPr>
            <w:r>
              <w:rPr>
                <w:rFonts w:hint="eastAsia" w:ascii="Times New Roman" w:hAnsi="Times New Roman"/>
                <w:b/>
                <w:bCs/>
                <w:color w:val="000000"/>
              </w:rPr>
              <w:t>标本管理</w:t>
            </w:r>
          </w:p>
        </w:tc>
        <w:tc>
          <w:tcPr>
            <w:tcW w:w="3240" w:type="dxa"/>
            <w:gridSpan w:val="4"/>
            <w:tcBorders>
              <w:tl2br w:val="nil"/>
              <w:tr2bl w:val="nil"/>
            </w:tcBorders>
          </w:tcPr>
          <w:p>
            <w:pPr>
              <w:tabs>
                <w:tab w:val="left" w:pos="312"/>
              </w:tabs>
              <w:spacing w:line="240" w:lineRule="exact"/>
              <w:rPr>
                <w:rFonts w:ascii="宋体" w:hAnsi="宋体" w:cs="微软雅黑"/>
                <w:szCs w:val="21"/>
              </w:rPr>
            </w:pPr>
          </w:p>
          <w:p>
            <w:pPr>
              <w:tabs>
                <w:tab w:val="left" w:pos="312"/>
              </w:tabs>
              <w:spacing w:line="240" w:lineRule="exact"/>
              <w:rPr>
                <w:rFonts w:ascii="宋体" w:hAnsi="宋体" w:cs="微软雅黑"/>
                <w:szCs w:val="21"/>
              </w:rPr>
            </w:pPr>
            <w:r>
              <w:rPr>
                <w:rFonts w:hint="eastAsia" w:ascii="宋体" w:hAnsi="宋体" w:cs="微软雅黑"/>
                <w:szCs w:val="21"/>
              </w:rPr>
              <w:t>产前诊断（筛查）标本运输、保存温度、保存时限符合要求。</w:t>
            </w:r>
          </w:p>
        </w:tc>
        <w:tc>
          <w:tcPr>
            <w:tcW w:w="4846" w:type="dxa"/>
            <w:tcBorders>
              <w:tl2br w:val="nil"/>
              <w:tr2bl w:val="nil"/>
            </w:tcBorders>
          </w:tcPr>
          <w:p>
            <w:pPr>
              <w:spacing w:line="240" w:lineRule="exact"/>
              <w:rPr>
                <w:rFonts w:ascii="宋体" w:hAnsi="宋体" w:cs="微软雅黑"/>
                <w:szCs w:val="21"/>
              </w:rPr>
            </w:pPr>
          </w:p>
          <w:p>
            <w:pPr>
              <w:spacing w:line="240" w:lineRule="exact"/>
              <w:rPr>
                <w:rFonts w:ascii="宋体" w:hAnsi="宋体" w:cs="微软雅黑"/>
                <w:szCs w:val="21"/>
              </w:rPr>
            </w:pPr>
            <w:r>
              <w:rPr>
                <w:rFonts w:ascii="宋体" w:hAnsi="宋体" w:cs="微软雅黑"/>
                <w:szCs w:val="21"/>
              </w:rPr>
              <w:t>1.</w:t>
            </w:r>
            <w:r>
              <w:rPr>
                <w:rFonts w:hint="eastAsia" w:ascii="宋体" w:hAnsi="宋体" w:cs="微软雅黑"/>
                <w:szCs w:val="21"/>
              </w:rPr>
              <w:t>查看产前诊断（筛查）待检血清标本是否存于</w:t>
            </w:r>
            <w:r>
              <w:rPr>
                <w:rFonts w:ascii="宋体" w:hAnsi="宋体" w:cs="微软雅黑"/>
                <w:szCs w:val="21"/>
              </w:rPr>
              <w:t>4</w:t>
            </w:r>
            <w:r>
              <w:rPr>
                <w:rFonts w:hint="eastAsia" w:ascii="宋体" w:hAnsi="宋体" w:cs="微软雅黑"/>
                <w:szCs w:val="21"/>
              </w:rPr>
              <w:t>℃</w:t>
            </w:r>
            <w:r>
              <w:rPr>
                <w:rFonts w:ascii="宋体" w:hAnsi="宋体" w:cs="微软雅黑"/>
                <w:szCs w:val="21"/>
              </w:rPr>
              <w:t>-8</w:t>
            </w:r>
            <w:r>
              <w:rPr>
                <w:rFonts w:hint="eastAsia" w:ascii="宋体" w:hAnsi="宋体" w:cs="微软雅黑"/>
                <w:szCs w:val="21"/>
              </w:rPr>
              <w:t>℃冰箱，标本登记的采集日期是否超过</w:t>
            </w:r>
            <w:r>
              <w:rPr>
                <w:rFonts w:ascii="宋体" w:hAnsi="宋体" w:cs="微软雅黑"/>
                <w:szCs w:val="21"/>
              </w:rPr>
              <w:t>7</w:t>
            </w:r>
            <w:r>
              <w:rPr>
                <w:rFonts w:hint="eastAsia" w:ascii="宋体" w:hAnsi="宋体" w:cs="微软雅黑"/>
                <w:szCs w:val="21"/>
              </w:rPr>
              <w:t>天；在</w:t>
            </w:r>
            <w:r>
              <w:rPr>
                <w:rFonts w:ascii="宋体" w:hAnsi="宋体" w:cs="微软雅黑"/>
                <w:szCs w:val="21"/>
              </w:rPr>
              <w:t>-20</w:t>
            </w:r>
            <w:r>
              <w:rPr>
                <w:rFonts w:hint="eastAsia" w:ascii="宋体" w:hAnsi="宋体" w:cs="微软雅黑"/>
                <w:szCs w:val="21"/>
              </w:rPr>
              <w:t>℃以下是否超过</w:t>
            </w:r>
            <w:r>
              <w:rPr>
                <w:rFonts w:ascii="宋体" w:hAnsi="宋体" w:cs="微软雅黑"/>
                <w:szCs w:val="21"/>
              </w:rPr>
              <w:t>3</w:t>
            </w:r>
            <w:r>
              <w:rPr>
                <w:rFonts w:hint="eastAsia" w:ascii="宋体" w:hAnsi="宋体" w:cs="微软雅黑"/>
                <w:szCs w:val="21"/>
              </w:rPr>
              <w:t>个月；长期保存是否在</w:t>
            </w:r>
            <w:r>
              <w:rPr>
                <w:rFonts w:ascii="宋体" w:hAnsi="宋体" w:cs="微软雅黑"/>
                <w:szCs w:val="21"/>
              </w:rPr>
              <w:t>-70</w:t>
            </w:r>
            <w:r>
              <w:rPr>
                <w:rFonts w:hint="eastAsia" w:ascii="宋体" w:hAnsi="宋体" w:cs="微软雅黑"/>
                <w:szCs w:val="21"/>
              </w:rPr>
              <w:t>℃以下。</w:t>
            </w:r>
          </w:p>
          <w:p>
            <w:pPr>
              <w:spacing w:line="240" w:lineRule="exact"/>
              <w:rPr>
                <w:rFonts w:ascii="宋体" w:hAnsi="宋体" w:cs="微软雅黑"/>
                <w:szCs w:val="21"/>
              </w:rPr>
            </w:pPr>
            <w:r>
              <w:rPr>
                <w:rFonts w:ascii="宋体" w:hAnsi="宋体" w:cs="微软雅黑"/>
                <w:szCs w:val="21"/>
              </w:rPr>
              <w:t>2.</w:t>
            </w:r>
            <w:r>
              <w:rPr>
                <w:rFonts w:hint="eastAsia" w:ascii="宋体" w:hAnsi="宋体" w:cs="微软雅黑"/>
                <w:szCs w:val="21"/>
              </w:rPr>
              <w:t>查看两年内已检标本编号，查看已检标本是否存于</w:t>
            </w:r>
            <w:r>
              <w:rPr>
                <w:rFonts w:ascii="宋体" w:hAnsi="宋体" w:cs="微软雅黑"/>
                <w:szCs w:val="21"/>
              </w:rPr>
              <w:t>-70</w:t>
            </w:r>
            <w:r>
              <w:rPr>
                <w:rFonts w:hint="eastAsia" w:ascii="宋体" w:hAnsi="宋体" w:cs="微软雅黑"/>
                <w:szCs w:val="21"/>
              </w:rPr>
              <w:t>℃以下冰箱内。</w:t>
            </w:r>
          </w:p>
          <w:p>
            <w:pPr>
              <w:spacing w:line="240" w:lineRule="exact"/>
              <w:rPr>
                <w:rFonts w:ascii="宋体" w:hAnsi="宋体" w:cs="微软雅黑"/>
                <w:szCs w:val="21"/>
              </w:rPr>
            </w:pPr>
            <w:r>
              <w:rPr>
                <w:rFonts w:hint="eastAsia" w:ascii="宋体" w:hAnsi="宋体" w:cs="微软雅黑"/>
                <w:szCs w:val="21"/>
              </w:rPr>
              <w:t>3</w:t>
            </w:r>
            <w:r>
              <w:rPr>
                <w:rFonts w:ascii="宋体" w:hAnsi="宋体" w:cs="微软雅黑"/>
                <w:szCs w:val="21"/>
              </w:rPr>
              <w:t>.</w:t>
            </w:r>
            <w:r>
              <w:rPr>
                <w:rFonts w:hint="eastAsia" w:ascii="宋体" w:hAnsi="宋体" w:cs="微软雅黑"/>
                <w:szCs w:val="21"/>
              </w:rPr>
              <w:t>查看标本保存冰箱的温度计及温度记录等，看设备是否正常运行。</w:t>
            </w:r>
          </w:p>
          <w:p>
            <w:pPr>
              <w:spacing w:line="240" w:lineRule="exact"/>
              <w:rPr>
                <w:rFonts w:ascii="宋体" w:hAnsi="宋体" w:cs="微软雅黑"/>
                <w:szCs w:val="21"/>
              </w:rPr>
            </w:pPr>
            <w:r>
              <w:rPr>
                <w:rFonts w:hint="eastAsia" w:ascii="宋体" w:hAnsi="宋体" w:cs="微软雅黑"/>
                <w:szCs w:val="21"/>
              </w:rPr>
              <w:t>2</w:t>
            </w:r>
            <w:r>
              <w:rPr>
                <w:rFonts w:ascii="宋体" w:hAnsi="宋体" w:cs="微软雅黑"/>
                <w:szCs w:val="21"/>
              </w:rPr>
              <w:t>.</w:t>
            </w:r>
            <w:r>
              <w:rPr>
                <w:rFonts w:hint="eastAsia" w:ascii="宋体" w:hAnsi="宋体" w:cs="微软雅黑"/>
                <w:szCs w:val="21"/>
              </w:rPr>
              <w:t>孕妇外周血胎儿游离</w:t>
            </w:r>
            <w:r>
              <w:rPr>
                <w:rFonts w:ascii="宋体" w:hAnsi="宋体" w:cs="微软雅黑"/>
                <w:szCs w:val="21"/>
              </w:rPr>
              <w:t>DNA</w:t>
            </w:r>
            <w:r>
              <w:rPr>
                <w:rFonts w:hint="eastAsia" w:ascii="宋体" w:hAnsi="宋体" w:cs="微软雅黑"/>
                <w:szCs w:val="21"/>
              </w:rPr>
              <w:t>检测标本是否保存</w:t>
            </w:r>
            <w:r>
              <w:rPr>
                <w:rFonts w:ascii="宋体" w:hAnsi="宋体" w:cs="微软雅黑"/>
                <w:szCs w:val="21"/>
              </w:rPr>
              <w:t>3</w:t>
            </w:r>
            <w:r>
              <w:rPr>
                <w:rFonts w:hint="eastAsia" w:ascii="宋体" w:hAnsi="宋体" w:cs="微软雅黑"/>
                <w:szCs w:val="21"/>
              </w:rPr>
              <w:t>年以上。</w:t>
            </w:r>
          </w:p>
          <w:p>
            <w:pPr>
              <w:spacing w:line="240" w:lineRule="exact"/>
              <w:rPr>
                <w:rFonts w:ascii="宋体" w:hAnsi="宋体" w:cs="宋体"/>
                <w:szCs w:val="21"/>
              </w:rPr>
            </w:pPr>
            <w:r>
              <w:rPr>
                <w:rFonts w:hint="eastAsia" w:ascii="宋体" w:hAnsi="宋体" w:cs="微软雅黑"/>
                <w:szCs w:val="21"/>
              </w:rPr>
              <w:t>4</w:t>
            </w:r>
            <w:r>
              <w:rPr>
                <w:rFonts w:ascii="宋体" w:hAnsi="宋体" w:cs="微软雅黑"/>
                <w:szCs w:val="21"/>
              </w:rPr>
              <w:t>.</w:t>
            </w:r>
            <w:r>
              <w:rPr>
                <w:rFonts w:hint="eastAsia" w:ascii="宋体" w:hAnsi="宋体" w:cs="微软雅黑"/>
                <w:szCs w:val="21"/>
              </w:rPr>
              <w:t>实验室与采血点不在同一医疗机构的，查看采血点是否有离心机等设施，以血清形式运送标本，并符合温度要求。</w:t>
            </w:r>
          </w:p>
        </w:tc>
        <w:tc>
          <w:tcPr>
            <w:tcW w:w="3687" w:type="dxa"/>
            <w:gridSpan w:val="3"/>
            <w:tcBorders>
              <w:tl2br w:val="nil"/>
              <w:tr2bl w:val="nil"/>
            </w:tcBorders>
            <w:vAlign w:val="center"/>
          </w:tcPr>
          <w:p>
            <w:pPr>
              <w:tabs>
                <w:tab w:val="left" w:pos="312"/>
              </w:tabs>
              <w:spacing w:line="240" w:lineRule="exact"/>
              <w:rPr>
                <w:rFonts w:ascii="宋体" w:hAnsi="宋体"/>
                <w:szCs w:val="21"/>
              </w:rPr>
            </w:pPr>
            <w:r>
              <w:rPr>
                <w:rFonts w:hint="eastAsia" w:ascii="宋体" w:hAnsi="宋体"/>
                <w:szCs w:val="21"/>
              </w:rPr>
              <w:t>1.标本保存温度不符合要求扣 3分；</w:t>
            </w:r>
          </w:p>
          <w:p>
            <w:pPr>
              <w:tabs>
                <w:tab w:val="left" w:pos="312"/>
              </w:tabs>
              <w:spacing w:line="240" w:lineRule="exact"/>
              <w:rPr>
                <w:rFonts w:ascii="宋体" w:hAnsi="宋体"/>
                <w:szCs w:val="21"/>
              </w:rPr>
            </w:pPr>
            <w:r>
              <w:rPr>
                <w:rFonts w:hint="eastAsia" w:ascii="宋体" w:hAnsi="宋体"/>
                <w:szCs w:val="21"/>
              </w:rPr>
              <w:t>2.标本保存时限不符合要求扣 3分；</w:t>
            </w:r>
          </w:p>
          <w:p>
            <w:pPr>
              <w:tabs>
                <w:tab w:val="left" w:pos="312"/>
              </w:tabs>
              <w:spacing w:line="240" w:lineRule="exact"/>
              <w:rPr>
                <w:rFonts w:ascii="宋体" w:hAnsi="宋体"/>
                <w:szCs w:val="21"/>
              </w:rPr>
            </w:pPr>
            <w:r>
              <w:rPr>
                <w:rFonts w:hint="eastAsia" w:ascii="宋体" w:hAnsi="宋体"/>
                <w:szCs w:val="21"/>
              </w:rPr>
              <w:t>3.标本运输不符合要求扣3分；</w:t>
            </w:r>
          </w:p>
          <w:p>
            <w:pPr>
              <w:spacing w:line="240" w:lineRule="exact"/>
              <w:rPr>
                <w:rFonts w:ascii="宋体" w:hAnsi="宋体"/>
                <w:szCs w:val="21"/>
              </w:rPr>
            </w:pPr>
          </w:p>
        </w:tc>
        <w:tc>
          <w:tcPr>
            <w:tcW w:w="709" w:type="dxa"/>
            <w:gridSpan w:val="2"/>
            <w:tcBorders>
              <w:tl2br w:val="nil"/>
              <w:tr2bl w:val="nil"/>
            </w:tcBorders>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715" w:type="dxa"/>
            <w:gridSpan w:val="3"/>
            <w:tcBorders>
              <w:tl2br w:val="nil"/>
              <w:tr2bl w:val="nil"/>
            </w:tcBorders>
            <w:vAlign w:val="center"/>
          </w:tcPr>
          <w:p>
            <w:pPr>
              <w:spacing w:line="280" w:lineRule="exact"/>
              <w:rPr>
                <w:rFonts w:ascii="Times New Roman" w:hAnsi="Times New Roman"/>
                <w:color w:val="000000"/>
              </w:rPr>
            </w:pPr>
          </w:p>
        </w:tc>
        <w:tc>
          <w:tcPr>
            <w:tcW w:w="820" w:type="dxa"/>
            <w:gridSpan w:val="3"/>
            <w:tcBorders>
              <w:tl2br w:val="nil"/>
              <w:tr2bl w:val="nil"/>
            </w:tcBorders>
            <w:vAlign w:val="center"/>
          </w:tcPr>
          <w:p>
            <w:pPr>
              <w:spacing w:line="28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jc w:val="center"/>
        </w:trPr>
        <w:tc>
          <w:tcPr>
            <w:tcW w:w="1293" w:type="dxa"/>
            <w:tcBorders>
              <w:tl2br w:val="nil"/>
              <w:tr2bl w:val="nil"/>
            </w:tcBorders>
            <w:vAlign w:val="center"/>
          </w:tcPr>
          <w:p>
            <w:pPr>
              <w:jc w:val="center"/>
              <w:rPr>
                <w:rFonts w:ascii="Times New Roman" w:hAnsi="Times New Roman"/>
                <w:b/>
                <w:bCs/>
                <w:color w:val="000000"/>
              </w:rPr>
            </w:pPr>
            <w:r>
              <w:rPr>
                <w:rFonts w:hint="eastAsia" w:ascii="Times New Roman" w:hAnsi="Times New Roman"/>
                <w:b/>
                <w:bCs/>
                <w:color w:val="000000"/>
              </w:rPr>
              <w:t>伦理管理</w:t>
            </w:r>
          </w:p>
        </w:tc>
        <w:tc>
          <w:tcPr>
            <w:tcW w:w="3240" w:type="dxa"/>
            <w:gridSpan w:val="4"/>
            <w:tcBorders>
              <w:tl2br w:val="nil"/>
              <w:tr2bl w:val="nil"/>
            </w:tcBorders>
            <w:vAlign w:val="center"/>
          </w:tcPr>
          <w:p>
            <w:pPr>
              <w:spacing w:line="240" w:lineRule="exact"/>
              <w:rPr>
                <w:rFonts w:ascii="宋体" w:hAnsi="宋体" w:cs="微软雅黑"/>
                <w:szCs w:val="21"/>
              </w:rPr>
            </w:pPr>
            <w:r>
              <w:rPr>
                <w:rFonts w:hint="eastAsia" w:ascii="宋体" w:hAnsi="宋体" w:cs="微软雅黑"/>
                <w:szCs w:val="21"/>
              </w:rPr>
              <w:t>应设医学伦理委员会，并履行职能职责。</w:t>
            </w:r>
          </w:p>
        </w:tc>
        <w:tc>
          <w:tcPr>
            <w:tcW w:w="4846" w:type="dxa"/>
            <w:tcBorders>
              <w:tl2br w:val="nil"/>
              <w:tr2bl w:val="nil"/>
            </w:tcBorders>
            <w:vAlign w:val="center"/>
          </w:tcPr>
          <w:p>
            <w:pPr>
              <w:spacing w:line="240" w:lineRule="exact"/>
              <w:rPr>
                <w:rFonts w:ascii="宋体" w:hAnsi="宋体" w:cs="微软雅黑"/>
                <w:szCs w:val="21"/>
              </w:rPr>
            </w:pPr>
            <w:r>
              <w:rPr>
                <w:rFonts w:ascii="宋体" w:hAnsi="宋体" w:cs="微软雅黑"/>
                <w:szCs w:val="21"/>
              </w:rPr>
              <w:t>1</w:t>
            </w:r>
            <w:r>
              <w:rPr>
                <w:rFonts w:hint="eastAsia" w:ascii="宋体" w:hAnsi="宋体" w:cs="微软雅黑"/>
                <w:szCs w:val="21"/>
              </w:rPr>
              <w:t>．查看医学伦理委员会设置文件。</w:t>
            </w:r>
          </w:p>
          <w:p>
            <w:pPr>
              <w:spacing w:line="240" w:lineRule="exact"/>
              <w:rPr>
                <w:rFonts w:ascii="宋体" w:hAnsi="宋体" w:cs="微软雅黑"/>
                <w:szCs w:val="21"/>
              </w:rPr>
            </w:pPr>
            <w:r>
              <w:rPr>
                <w:rFonts w:ascii="宋体" w:hAnsi="宋体" w:cs="微软雅黑"/>
                <w:szCs w:val="21"/>
              </w:rPr>
              <w:t>2.</w:t>
            </w:r>
            <w:r>
              <w:rPr>
                <w:rFonts w:hint="eastAsia" w:ascii="宋体" w:hAnsi="宋体" w:cs="微软雅黑"/>
                <w:szCs w:val="21"/>
              </w:rPr>
              <w:t>查看医学伦理委员会的组成情况是否符合要求（应包括医学伦理学、心理学、社会学、法学、生殖医学、护理学、临床遗传学、围产医学专家和群众代表等，应含有非本单位人员和女性成员以及非医学背景成员）。</w:t>
            </w:r>
          </w:p>
          <w:p>
            <w:pPr>
              <w:spacing w:line="240" w:lineRule="exact"/>
              <w:rPr>
                <w:rFonts w:ascii="宋体" w:hAnsi="宋体" w:cs="宋体"/>
                <w:szCs w:val="21"/>
              </w:rPr>
            </w:pPr>
            <w:r>
              <w:rPr>
                <w:rFonts w:ascii="宋体" w:hAnsi="宋体" w:cs="微软雅黑"/>
                <w:szCs w:val="21"/>
              </w:rPr>
              <w:t>3</w:t>
            </w:r>
            <w:r>
              <w:rPr>
                <w:rFonts w:hint="eastAsia" w:ascii="宋体" w:hAnsi="宋体" w:cs="微软雅黑"/>
                <w:szCs w:val="21"/>
              </w:rPr>
              <w:t>．查看医学伦理委员会的会议记录、审查记录等，开展工作是否遵守章程。</w:t>
            </w:r>
          </w:p>
        </w:tc>
        <w:tc>
          <w:tcPr>
            <w:tcW w:w="3687" w:type="dxa"/>
            <w:gridSpan w:val="3"/>
            <w:tcBorders>
              <w:tl2br w:val="nil"/>
              <w:tr2bl w:val="nil"/>
            </w:tcBorders>
            <w:vAlign w:val="center"/>
          </w:tcPr>
          <w:p>
            <w:pPr>
              <w:spacing w:line="240" w:lineRule="exact"/>
              <w:rPr>
                <w:rFonts w:ascii="宋体" w:hAnsi="宋体"/>
                <w:szCs w:val="21"/>
              </w:rPr>
            </w:pPr>
            <w:r>
              <w:rPr>
                <w:rFonts w:hint="eastAsia" w:ascii="宋体" w:hAnsi="宋体"/>
                <w:szCs w:val="21"/>
              </w:rPr>
              <w:t>1.未设置医学伦理委员全扣；</w:t>
            </w:r>
          </w:p>
          <w:p>
            <w:pPr>
              <w:spacing w:line="240" w:lineRule="exact"/>
              <w:rPr>
                <w:rFonts w:ascii="宋体" w:hAnsi="宋体"/>
                <w:szCs w:val="21"/>
              </w:rPr>
            </w:pPr>
            <w:r>
              <w:rPr>
                <w:rFonts w:hint="eastAsia" w:ascii="宋体" w:hAnsi="宋体"/>
                <w:szCs w:val="21"/>
              </w:rPr>
              <w:t>2.伦理委员会组成不合理扣4分；</w:t>
            </w:r>
          </w:p>
          <w:p>
            <w:pPr>
              <w:spacing w:line="240" w:lineRule="exact"/>
              <w:rPr>
                <w:rFonts w:ascii="宋体" w:hAnsi="宋体"/>
                <w:color w:val="000000"/>
                <w:szCs w:val="21"/>
              </w:rPr>
            </w:pPr>
            <w:r>
              <w:rPr>
                <w:rFonts w:hint="eastAsia" w:ascii="宋体" w:hAnsi="宋体"/>
                <w:szCs w:val="21"/>
              </w:rPr>
              <w:t>3.未开展相关工作扣2分。</w:t>
            </w:r>
          </w:p>
        </w:tc>
        <w:tc>
          <w:tcPr>
            <w:tcW w:w="709" w:type="dxa"/>
            <w:gridSpan w:val="2"/>
            <w:tcBorders>
              <w:tl2br w:val="nil"/>
              <w:tr2bl w:val="nil"/>
            </w:tcBorders>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715" w:type="dxa"/>
            <w:gridSpan w:val="3"/>
            <w:tcBorders>
              <w:tl2br w:val="nil"/>
              <w:tr2bl w:val="nil"/>
            </w:tcBorders>
            <w:vAlign w:val="center"/>
          </w:tcPr>
          <w:p>
            <w:pPr>
              <w:spacing w:line="280" w:lineRule="exact"/>
              <w:rPr>
                <w:rFonts w:ascii="Times New Roman" w:hAnsi="Times New Roman"/>
                <w:color w:val="000000"/>
              </w:rPr>
            </w:pPr>
          </w:p>
        </w:tc>
        <w:tc>
          <w:tcPr>
            <w:tcW w:w="820" w:type="dxa"/>
            <w:gridSpan w:val="3"/>
            <w:tcBorders>
              <w:tl2br w:val="nil"/>
              <w:tr2bl w:val="nil"/>
            </w:tcBorders>
            <w:vAlign w:val="center"/>
          </w:tcPr>
          <w:p>
            <w:pPr>
              <w:spacing w:line="280" w:lineRule="exact"/>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310" w:type="dxa"/>
            <w:gridSpan w:val="17"/>
            <w:tcBorders>
              <w:tl2br w:val="nil"/>
              <w:tr2bl w:val="nil"/>
            </w:tcBorders>
            <w:shd w:val="clear" w:color="auto" w:fill="auto"/>
            <w:noWrap/>
            <w:vAlign w:val="center"/>
          </w:tcPr>
          <w:p>
            <w:pPr>
              <w:widowControl/>
              <w:jc w:val="left"/>
              <w:rPr>
                <w:rFonts w:ascii="宋体" w:hAnsi="宋体" w:cs="宋体"/>
                <w:b/>
                <w:bCs/>
                <w:color w:val="000000"/>
                <w:kern w:val="0"/>
                <w:sz w:val="28"/>
                <w:szCs w:val="28"/>
              </w:rPr>
            </w:pPr>
            <w:r>
              <w:rPr>
                <w:rFonts w:hint="eastAsia" w:ascii="黑体" w:hAnsi="黑体" w:eastAsia="黑体" w:cs="宋体"/>
                <w:bCs/>
                <w:color w:val="000000"/>
                <w:kern w:val="0"/>
                <w:sz w:val="28"/>
                <w:szCs w:val="28"/>
                <w:highlight w:val="yellow"/>
              </w:rPr>
              <w:t>八、放射卫生</w:t>
            </w:r>
            <w:r>
              <w:rPr>
                <w:rFonts w:hint="eastAsia" w:ascii="黑体" w:hAnsi="黑体" w:eastAsia="黑体" w:cs="宋体"/>
                <w:bCs/>
                <w:color w:val="000000"/>
                <w:kern w:val="0"/>
                <w:sz w:val="28"/>
                <w:szCs w:val="28"/>
              </w:rPr>
              <w:t>（1.基本要求）  共200分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46" w:type="dxa"/>
            <w:gridSpan w:val="4"/>
            <w:tcBorders>
              <w:tl2br w:val="nil"/>
              <w:tr2bl w:val="nil"/>
            </w:tcBorders>
            <w:shd w:val="clear" w:color="auto" w:fill="auto"/>
            <w:noWrap/>
            <w:vAlign w:val="center"/>
          </w:tcPr>
          <w:p>
            <w:pPr>
              <w:spacing w:line="240" w:lineRule="exact"/>
              <w:jc w:val="center"/>
              <w:rPr>
                <w:rFonts w:ascii="宋体" w:hAnsi="宋体" w:cs="宋体"/>
                <w:b/>
                <w:bCs/>
                <w:color w:val="000000"/>
                <w:kern w:val="0"/>
                <w:sz w:val="28"/>
                <w:szCs w:val="28"/>
              </w:rPr>
            </w:pPr>
            <w:r>
              <w:rPr>
                <w:rFonts w:hint="eastAsia" w:ascii="Times New Roman" w:hAnsi="Times New Roman" w:cs="宋体"/>
                <w:b/>
                <w:bCs/>
              </w:rPr>
              <w:t>检查项目</w:t>
            </w:r>
          </w:p>
        </w:tc>
        <w:tc>
          <w:tcPr>
            <w:tcW w:w="7842" w:type="dxa"/>
            <w:gridSpan w:val="4"/>
            <w:tcBorders>
              <w:tl2br w:val="nil"/>
              <w:tr2bl w:val="nil"/>
            </w:tcBorders>
            <w:shd w:val="clear" w:color="auto" w:fill="auto"/>
            <w:vAlign w:val="center"/>
          </w:tcPr>
          <w:p>
            <w:pPr>
              <w:spacing w:line="240" w:lineRule="exact"/>
              <w:jc w:val="center"/>
              <w:rPr>
                <w:rFonts w:ascii="宋体" w:hAnsi="宋体" w:cs="宋体"/>
                <w:b/>
                <w:bCs/>
                <w:color w:val="000000"/>
                <w:kern w:val="0"/>
                <w:sz w:val="28"/>
                <w:szCs w:val="28"/>
              </w:rPr>
            </w:pPr>
            <w:r>
              <w:rPr>
                <w:rFonts w:hint="eastAsia" w:ascii="Times New Roman" w:hAnsi="Times New Roman" w:cs="宋体"/>
                <w:b/>
                <w:bCs/>
              </w:rPr>
              <w:t>检查内容</w:t>
            </w:r>
          </w:p>
        </w:tc>
        <w:tc>
          <w:tcPr>
            <w:tcW w:w="3178" w:type="dxa"/>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52"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67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20"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放射诊疗许可监督管理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1、持有《放射诊疗许可证》并能够与《医疗机构执业许可证》同时校验；</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4"/>
                <w:szCs w:val="24"/>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2、取得《放射诊疗许可证》后，应到核发《医疗机构执业许可证》的卫生计生行政部门申请将医学影像科核准到二级诊疗科目；所有放射诊疗设备应在放射诊疗许可证副本登记</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4"/>
                <w:szCs w:val="24"/>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建立放射防护管理组织，配备专兼职放射防护管理人员，制定放射诊疗和放射防护管理制度、质量控制与安全防护管理制度、个人剂量监测制度、职业健康管理制度、放射法律法规与防护培训制度、放射事件应急处理预案；</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4"/>
                <w:szCs w:val="24"/>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4、大型医用设备应取得大型医用设备配置许可。</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可合理缺项</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放射工作场所防护设施监督管理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1、机房有效使用面积、布局等符合相应标准要求；防护设施完好,无擅自改动</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2、放射工作场所入口处装有工作指示灯，与机房相通的门能有效联动，按要求张贴电离辐射警示标志，并有必要的文字说明，在候诊区或健康教育宣传橱窗设置放射防护知识宣传专栏。</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每项2</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10</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放射工作人员监督管理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1、放射工作人员应持有放射工作人员证； </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按培训为准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2、放射工作人员应定期接受相关法律法规、放射防护知识培训，个人剂量监测和职业健康检查；</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每项2</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3、为放射工作人员建立个人剂量、职业健康监护档案和教育培训档案。</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放射诊疗建设项目监督管理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1、新、改、扩建放射诊疗建设项目应进行职业病危害放射防护预评价；</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2、建设项目竣工后应进行职业病危害控制效果放射防护评价并经卫生行政部门验收；</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5310" w:type="dxa"/>
            <w:gridSpan w:val="17"/>
            <w:tcBorders>
              <w:tl2br w:val="nil"/>
              <w:tr2bl w:val="nil"/>
            </w:tcBorders>
            <w:shd w:val="clear" w:color="auto" w:fill="auto"/>
            <w:noWrap/>
            <w:vAlign w:val="center"/>
          </w:tcPr>
          <w:p>
            <w:pPr>
              <w:widowControl/>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highlight w:val="yellow"/>
              </w:rPr>
              <w:t>2.放射治疗工作场所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2046" w:type="dxa"/>
            <w:gridSpan w:val="4"/>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7842" w:type="dxa"/>
            <w:gridSpan w:val="4"/>
            <w:tcBorders>
              <w:tl2br w:val="nil"/>
              <w:tr2bl w:val="nil"/>
            </w:tcBorders>
            <w:shd w:val="clear" w:color="auto" w:fill="auto"/>
            <w:vAlign w:val="center"/>
          </w:tcPr>
          <w:p>
            <w:pPr>
              <w:spacing w:line="240" w:lineRule="exact"/>
              <w:jc w:val="center"/>
              <w:rPr>
                <w:rFonts w:ascii="Times New Roman" w:hAnsi="Times New Roman" w:cs="宋体"/>
                <w:b/>
                <w:bCs/>
              </w:rPr>
            </w:pPr>
            <w:r>
              <w:rPr>
                <w:rFonts w:hint="eastAsia" w:ascii="Times New Roman" w:hAnsi="Times New Roman" w:cs="宋体"/>
                <w:b/>
                <w:bCs/>
              </w:rPr>
              <w:t>检查内容</w:t>
            </w:r>
          </w:p>
        </w:tc>
        <w:tc>
          <w:tcPr>
            <w:tcW w:w="3178" w:type="dxa"/>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52"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67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20"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人员情况</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有中级以上专业技术职务任职资格的放射肿瘤医师，有大学本科以上学历或中级以上专业技术职务任职资格的医学物理人员，有病理学、医学影像学专业技术人员，有放射治疗技师和维修人员；</w:t>
            </w:r>
          </w:p>
        </w:tc>
        <w:tc>
          <w:tcPr>
            <w:tcW w:w="3178" w:type="dxa"/>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医学物理人员4分，其他2分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工作场所</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治疗室通风换气次数应符合相关标准要求。</w:t>
            </w:r>
          </w:p>
        </w:tc>
        <w:tc>
          <w:tcPr>
            <w:tcW w:w="3178" w:type="dxa"/>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设备和防护用品监督管理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1、开展放射治疗工作，须按规定配备相应的模拟定位设备、治疗计划系统和相应的质量控制设备；</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2、放射治疗场所应当按照相应标准设置多重安全联锁系统、剂量监测系统、影像监控、对讲装置和固定式剂量监测报警装置；配备放疗剂量仪、剂量扫描装置和个人剂量报警仪；</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每项2分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12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3、模拟定位机房应配备受检者个人防护用品并正确使用。</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5</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安全防护</w:t>
            </w:r>
            <w:r>
              <w:rPr>
                <w:rFonts w:hint="eastAsia" w:ascii="宋体" w:hAnsi="宋体" w:cs="宋体"/>
                <w:color w:val="000000"/>
                <w:kern w:val="0"/>
                <w:sz w:val="22"/>
              </w:rPr>
              <w:br w:type="textWrapping"/>
            </w:r>
            <w:r>
              <w:rPr>
                <w:rFonts w:hint="eastAsia" w:ascii="宋体" w:hAnsi="宋体" w:cs="宋体"/>
                <w:color w:val="000000"/>
                <w:kern w:val="0"/>
                <w:sz w:val="22"/>
              </w:rPr>
              <w:t>与质量保证</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1、每年进行放射治疗设备性能质量控制和工作场所防护检测，医疗机构按照规定的项目和周期进行稳定性检测，并有记录；</w:t>
            </w:r>
          </w:p>
        </w:tc>
        <w:tc>
          <w:tcPr>
            <w:tcW w:w="3178" w:type="dxa"/>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前1项4分，后1项8分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12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2、放射防护和质量控制的检测仪表有校准证书；</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3、治疗过程中，治疗现场至少应有2名放射诊疗工作人员；严禁其他无关人员进入治疗场所。</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themeColor="text1"/>
                <w:kern w:val="0"/>
                <w:sz w:val="22"/>
              </w:rPr>
            </w:pPr>
            <w:r>
              <w:rPr>
                <w:rFonts w:hint="eastAsia" w:ascii="宋体" w:hAnsi="宋体" w:cs="宋体"/>
                <w:color w:val="000000" w:themeColor="text1"/>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5310" w:type="dxa"/>
            <w:gridSpan w:val="17"/>
            <w:tcBorders>
              <w:tl2br w:val="nil"/>
              <w:tr2bl w:val="nil"/>
            </w:tcBorders>
            <w:shd w:val="clear" w:color="auto" w:fill="auto"/>
            <w:noWrap/>
            <w:vAlign w:val="center"/>
          </w:tcPr>
          <w:p>
            <w:pPr>
              <w:widowControl/>
              <w:rPr>
                <w:rFonts w:ascii="宋体" w:hAnsi="宋体" w:cs="宋体"/>
                <w:color w:val="000000"/>
                <w:kern w:val="0"/>
                <w:sz w:val="22"/>
              </w:rPr>
            </w:pPr>
            <w:r>
              <w:rPr>
                <w:rFonts w:hint="eastAsia" w:ascii="黑体" w:hAnsi="黑体" w:eastAsia="黑体" w:cs="宋体"/>
                <w:bCs/>
                <w:color w:val="000000"/>
                <w:kern w:val="0"/>
                <w:sz w:val="28"/>
                <w:szCs w:val="28"/>
                <w:highlight w:val="yellow"/>
              </w:rPr>
              <w:t>3.核医学工作场所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046" w:type="dxa"/>
            <w:gridSpan w:val="4"/>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7842" w:type="dxa"/>
            <w:gridSpan w:val="4"/>
            <w:tcBorders>
              <w:tl2br w:val="nil"/>
              <w:tr2bl w:val="nil"/>
            </w:tcBorders>
            <w:shd w:val="clear" w:color="auto" w:fill="auto"/>
            <w:vAlign w:val="center"/>
          </w:tcPr>
          <w:p>
            <w:pPr>
              <w:spacing w:line="240" w:lineRule="exact"/>
              <w:jc w:val="center"/>
              <w:rPr>
                <w:rFonts w:ascii="Times New Roman" w:hAnsi="Times New Roman" w:cs="宋体"/>
                <w:b/>
                <w:bCs/>
              </w:rPr>
            </w:pPr>
            <w:r>
              <w:rPr>
                <w:rFonts w:hint="eastAsia" w:ascii="Times New Roman" w:hAnsi="Times New Roman" w:cs="宋体"/>
                <w:b/>
                <w:bCs/>
              </w:rPr>
              <w:t>检查内容</w:t>
            </w:r>
          </w:p>
        </w:tc>
        <w:tc>
          <w:tcPr>
            <w:tcW w:w="3178" w:type="dxa"/>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52"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67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20"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人员情况</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有中级以上专业技术职务任职资格的核医学医师，有病理学、医学影像学专业技术人员，有大学本科以上学历或中级以上专业技术职务任职资格的技术人员或核医学技师；</w:t>
            </w:r>
          </w:p>
        </w:tc>
        <w:tc>
          <w:tcPr>
            <w:tcW w:w="3178" w:type="dxa"/>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核医学医师4分，其他2分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工作场所</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1、工作场所布局合理，患者和医务人员应有专门的通道，根据需要设置治疗室和专用病房、专用卫生设施；</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2、设有专门的放射性同位素分装、注射、储存场所；</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3、制备放射性药物的应有单独淋洗、分装、质控场所，操作放射性碘的应有通风橱；</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4、设有专门的放射性废物屏蔽设备和存放场所，设有电离辐射警告标志及必要的文字说明，储存容器符合要求，放射性废物处置要符合有关规定。</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每项2分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设备和防护用品监管</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配备活度计、放射性表面污染监测仪，按照规范开展表面污染检测，并有记录。</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安全防护</w:t>
            </w:r>
            <w:r>
              <w:rPr>
                <w:rFonts w:hint="eastAsia" w:ascii="宋体" w:hAnsi="宋体" w:cs="宋体"/>
                <w:color w:val="000000"/>
                <w:kern w:val="0"/>
                <w:sz w:val="22"/>
              </w:rPr>
              <w:br w:type="textWrapping"/>
            </w:r>
            <w:r>
              <w:rPr>
                <w:rFonts w:hint="eastAsia" w:ascii="宋体" w:hAnsi="宋体" w:cs="宋体"/>
                <w:color w:val="000000"/>
                <w:kern w:val="0"/>
                <w:sz w:val="22"/>
              </w:rPr>
              <w:t>与质量保证</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1、有影像设备放射防护性能和工作场所防护设施检测，有放射防护和质量控制的检测仪表校准证书；医疗机构按照规定的项目和周期进行稳定性检测，并有记录；</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2、核素入库、使用应按照要求进行活度检测，药物使用应建立登记台帐，双人双锁管理；</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3、核医学分装柜排风系统是否能正常工作，排风口过滤装置更换是否有记录台账；</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4、放射性废物是否按规定收集存放，并有记录。</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20"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5310" w:type="dxa"/>
            <w:gridSpan w:val="17"/>
            <w:tcBorders>
              <w:tl2br w:val="nil"/>
              <w:tr2bl w:val="nil"/>
            </w:tcBorders>
            <w:shd w:val="clear" w:color="auto" w:fill="auto"/>
            <w:noWrap/>
            <w:vAlign w:val="bottom"/>
          </w:tcPr>
          <w:p>
            <w:pPr>
              <w:widowControl/>
              <w:jc w:val="left"/>
              <w:rPr>
                <w:rFonts w:ascii="宋体" w:hAnsi="宋体" w:cs="宋体"/>
                <w:color w:val="000000"/>
                <w:kern w:val="0"/>
                <w:sz w:val="22"/>
              </w:rPr>
            </w:pPr>
            <w:r>
              <w:rPr>
                <w:rFonts w:hint="eastAsia" w:ascii="黑体" w:hAnsi="黑体" w:eastAsia="黑体" w:cs="宋体"/>
                <w:bCs/>
                <w:color w:val="000000"/>
                <w:kern w:val="0"/>
                <w:sz w:val="28"/>
                <w:szCs w:val="28"/>
                <w:highlight w:val="yellow"/>
              </w:rPr>
              <w:t>4.介入放射学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38" w:hRule="atLeast"/>
          <w:jc w:val="center"/>
        </w:trPr>
        <w:tc>
          <w:tcPr>
            <w:tcW w:w="2046" w:type="dxa"/>
            <w:gridSpan w:val="4"/>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7842" w:type="dxa"/>
            <w:gridSpan w:val="4"/>
            <w:tcBorders>
              <w:tl2br w:val="nil"/>
              <w:tr2bl w:val="nil"/>
            </w:tcBorders>
            <w:shd w:val="clear" w:color="auto" w:fill="auto"/>
            <w:vAlign w:val="center"/>
          </w:tcPr>
          <w:p>
            <w:pPr>
              <w:spacing w:line="240" w:lineRule="exact"/>
              <w:jc w:val="center"/>
              <w:rPr>
                <w:rFonts w:ascii="Times New Roman" w:hAnsi="Times New Roman" w:cs="宋体"/>
                <w:b/>
                <w:bCs/>
              </w:rPr>
            </w:pPr>
            <w:r>
              <w:rPr>
                <w:rFonts w:hint="eastAsia" w:ascii="Times New Roman" w:hAnsi="Times New Roman" w:cs="宋体"/>
                <w:b/>
                <w:bCs/>
              </w:rPr>
              <w:t>检查内容</w:t>
            </w:r>
          </w:p>
        </w:tc>
        <w:tc>
          <w:tcPr>
            <w:tcW w:w="3178" w:type="dxa"/>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52"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满分</w:t>
            </w:r>
          </w:p>
        </w:tc>
        <w:tc>
          <w:tcPr>
            <w:tcW w:w="67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1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704"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人员情况</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1、有大学本科以上学历或中级以上专业技术职务任职资格的放射影像医师，有放射影像技师，有相关内、外科的专业技术人员；</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44"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2、按照规定佩戴个人剂量计。</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15"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设备和防护</w:t>
            </w:r>
            <w:r>
              <w:rPr>
                <w:rFonts w:hint="eastAsia" w:ascii="宋体" w:hAnsi="宋体" w:cs="宋体"/>
                <w:color w:val="000000"/>
                <w:kern w:val="0"/>
                <w:sz w:val="22"/>
              </w:rPr>
              <w:br w:type="textWrapping"/>
            </w:r>
            <w:r>
              <w:rPr>
                <w:rFonts w:hint="eastAsia" w:ascii="宋体" w:hAnsi="宋体" w:cs="宋体"/>
                <w:color w:val="000000"/>
                <w:kern w:val="0"/>
                <w:sz w:val="22"/>
              </w:rPr>
              <w:t>用品监管</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1、按规定配备工作人员和受检者个人防护用品和辅助防护设施，每5年更新；</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每项2分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76"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2、正确使用工作人员、受检者个人防护用品和辅助防护设施。</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930"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安全防护</w:t>
            </w:r>
            <w:r>
              <w:rPr>
                <w:rFonts w:hint="eastAsia" w:ascii="宋体" w:hAnsi="宋体" w:cs="宋体"/>
                <w:color w:val="000000"/>
                <w:kern w:val="0"/>
                <w:sz w:val="22"/>
              </w:rPr>
              <w:br w:type="textWrapping"/>
            </w:r>
            <w:r>
              <w:rPr>
                <w:rFonts w:hint="eastAsia" w:ascii="宋体" w:hAnsi="宋体" w:cs="宋体"/>
                <w:color w:val="000000"/>
                <w:kern w:val="0"/>
                <w:sz w:val="22"/>
              </w:rPr>
              <w:t>与质量保证</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有介入放射学设备性能质量控制和工作场所防护检测，医疗机构按照规定的项目和周期进行稳定性检测，并有记录；</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5310" w:type="dxa"/>
            <w:gridSpan w:val="17"/>
            <w:tcBorders>
              <w:tl2br w:val="nil"/>
              <w:tr2bl w:val="nil"/>
            </w:tcBorders>
            <w:shd w:val="clear" w:color="auto" w:fill="auto"/>
            <w:noWrap/>
            <w:vAlign w:val="center"/>
          </w:tcPr>
          <w:p>
            <w:pPr>
              <w:widowControl/>
              <w:rPr>
                <w:rFonts w:ascii="宋体" w:hAnsi="宋体" w:cs="宋体"/>
                <w:color w:val="000000"/>
                <w:kern w:val="0"/>
                <w:sz w:val="22"/>
              </w:rPr>
            </w:pPr>
            <w:r>
              <w:rPr>
                <w:rFonts w:hint="eastAsia" w:ascii="黑体" w:hAnsi="黑体" w:eastAsia="黑体" w:cs="宋体"/>
                <w:bCs/>
                <w:color w:val="000000"/>
                <w:kern w:val="0"/>
                <w:sz w:val="28"/>
                <w:szCs w:val="28"/>
                <w:highlight w:val="yellow"/>
              </w:rPr>
              <w:t>5.X射线影像诊断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64" w:hRule="atLeast"/>
          <w:jc w:val="center"/>
        </w:trPr>
        <w:tc>
          <w:tcPr>
            <w:tcW w:w="2046" w:type="dxa"/>
            <w:gridSpan w:val="4"/>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检查项目</w:t>
            </w:r>
          </w:p>
        </w:tc>
        <w:tc>
          <w:tcPr>
            <w:tcW w:w="7842" w:type="dxa"/>
            <w:gridSpan w:val="4"/>
            <w:tcBorders>
              <w:tl2br w:val="nil"/>
              <w:tr2bl w:val="nil"/>
            </w:tcBorders>
            <w:shd w:val="clear" w:color="auto" w:fill="auto"/>
            <w:vAlign w:val="center"/>
          </w:tcPr>
          <w:p>
            <w:pPr>
              <w:spacing w:line="240" w:lineRule="exact"/>
              <w:jc w:val="center"/>
              <w:rPr>
                <w:rFonts w:ascii="Times New Roman" w:hAnsi="Times New Roman" w:cs="宋体"/>
                <w:b/>
                <w:bCs/>
              </w:rPr>
            </w:pPr>
            <w:r>
              <w:rPr>
                <w:rFonts w:hint="eastAsia" w:ascii="Times New Roman" w:hAnsi="Times New Roman" w:cs="宋体"/>
                <w:b/>
                <w:bCs/>
              </w:rPr>
              <w:t>检查内容</w:t>
            </w:r>
          </w:p>
        </w:tc>
        <w:tc>
          <w:tcPr>
            <w:tcW w:w="3178" w:type="dxa"/>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评分标准</w:t>
            </w:r>
          </w:p>
        </w:tc>
        <w:tc>
          <w:tcPr>
            <w:tcW w:w="752" w:type="dxa"/>
            <w:gridSpan w:val="3"/>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分值</w:t>
            </w:r>
          </w:p>
        </w:tc>
        <w:tc>
          <w:tcPr>
            <w:tcW w:w="67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扣分</w:t>
            </w:r>
          </w:p>
        </w:tc>
        <w:tc>
          <w:tcPr>
            <w:tcW w:w="812" w:type="dxa"/>
            <w:gridSpan w:val="2"/>
            <w:tcBorders>
              <w:tl2br w:val="nil"/>
              <w:tr2bl w:val="nil"/>
            </w:tcBorders>
            <w:shd w:val="clear" w:color="auto" w:fill="auto"/>
            <w:noWrap/>
            <w:vAlign w:val="center"/>
          </w:tcPr>
          <w:p>
            <w:pPr>
              <w:spacing w:line="240" w:lineRule="exact"/>
              <w:jc w:val="center"/>
              <w:rPr>
                <w:rFonts w:ascii="Times New Roman" w:hAnsi="Times New Roman" w:cs="宋体"/>
                <w:b/>
                <w:bCs/>
              </w:rPr>
            </w:pPr>
            <w:r>
              <w:rPr>
                <w:rFonts w:hint="eastAsia" w:ascii="Times New Roman" w:hAnsi="Times New Roman" w:cs="宋体"/>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00" w:hRule="atLeast"/>
          <w:jc w:val="center"/>
        </w:trPr>
        <w:tc>
          <w:tcPr>
            <w:tcW w:w="2046" w:type="dxa"/>
            <w:gridSpan w:val="4"/>
            <w:tcBorders>
              <w:tl2br w:val="nil"/>
              <w:tr2bl w:val="nil"/>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人员情况</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 xml:space="preserve">   有专业的放射影像医师；</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507" w:hRule="atLeast"/>
          <w:jc w:val="center"/>
        </w:trPr>
        <w:tc>
          <w:tcPr>
            <w:tcW w:w="2046" w:type="dxa"/>
            <w:gridSpan w:val="4"/>
            <w:vMerge w:val="restart"/>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设备和防护</w:t>
            </w:r>
            <w:r>
              <w:rPr>
                <w:rFonts w:hint="eastAsia" w:ascii="宋体" w:hAnsi="宋体" w:cs="宋体"/>
                <w:color w:val="000000"/>
                <w:kern w:val="0"/>
                <w:sz w:val="22"/>
              </w:rPr>
              <w:br w:type="textWrapping"/>
            </w:r>
            <w:r>
              <w:rPr>
                <w:rFonts w:hint="eastAsia" w:ascii="宋体" w:hAnsi="宋体" w:cs="宋体"/>
                <w:color w:val="000000"/>
                <w:kern w:val="0"/>
                <w:sz w:val="22"/>
              </w:rPr>
              <w:t>用品监管</w:t>
            </w: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1、按规定配备工作人员和受检者个人防护用品和辅助防护设施，每5年更新；</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每项5分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675" w:hRule="atLeast"/>
          <w:jc w:val="center"/>
        </w:trPr>
        <w:tc>
          <w:tcPr>
            <w:tcW w:w="2046" w:type="dxa"/>
            <w:gridSpan w:val="4"/>
            <w:vMerge w:val="continue"/>
            <w:tcBorders>
              <w:tl2br w:val="nil"/>
              <w:tr2bl w:val="nil"/>
            </w:tcBorders>
            <w:vAlign w:val="center"/>
          </w:tcPr>
          <w:p>
            <w:pPr>
              <w:widowControl/>
              <w:jc w:val="left"/>
              <w:rPr>
                <w:rFonts w:ascii="宋体" w:hAnsi="宋体" w:cs="宋体"/>
                <w:color w:val="000000"/>
                <w:kern w:val="0"/>
                <w:sz w:val="22"/>
              </w:rPr>
            </w:pPr>
          </w:p>
        </w:tc>
        <w:tc>
          <w:tcPr>
            <w:tcW w:w="7842" w:type="dxa"/>
            <w:gridSpan w:val="4"/>
            <w:tcBorders>
              <w:tl2br w:val="nil"/>
              <w:tr2bl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2、正确使用工作人员、受检者个人防护用品和辅助防护设施。</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859" w:hRule="atLeast"/>
          <w:jc w:val="center"/>
        </w:trPr>
        <w:tc>
          <w:tcPr>
            <w:tcW w:w="2046" w:type="dxa"/>
            <w:gridSpan w:val="4"/>
            <w:tcBorders>
              <w:tl2br w:val="nil"/>
              <w:tr2bl w:val="nil"/>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安全防护</w:t>
            </w:r>
            <w:r>
              <w:rPr>
                <w:rFonts w:hint="eastAsia" w:ascii="宋体" w:hAnsi="宋体" w:cs="宋体"/>
                <w:color w:val="000000"/>
                <w:kern w:val="0"/>
                <w:sz w:val="22"/>
              </w:rPr>
              <w:br w:type="textWrapping"/>
            </w:r>
            <w:r>
              <w:rPr>
                <w:rFonts w:hint="eastAsia" w:ascii="宋体" w:hAnsi="宋体" w:cs="宋体"/>
                <w:color w:val="000000"/>
                <w:kern w:val="0"/>
                <w:sz w:val="22"/>
              </w:rPr>
              <w:t>与质量保证</w:t>
            </w:r>
            <w:r>
              <w:rPr>
                <w:rFonts w:hint="eastAsia" w:ascii="宋体" w:hAnsi="宋体" w:cs="宋体"/>
                <w:color w:val="000000"/>
                <w:kern w:val="0"/>
                <w:sz w:val="22"/>
              </w:rPr>
              <w:br w:type="textWrapping"/>
            </w:r>
            <w:r>
              <w:rPr>
                <w:rFonts w:hint="eastAsia" w:ascii="宋体" w:hAnsi="宋体" w:cs="宋体"/>
                <w:color w:val="000000"/>
                <w:kern w:val="0"/>
                <w:sz w:val="22"/>
              </w:rPr>
              <w:t>监督管理</w:t>
            </w:r>
          </w:p>
        </w:tc>
        <w:tc>
          <w:tcPr>
            <w:tcW w:w="7842" w:type="dxa"/>
            <w:gridSpan w:val="4"/>
            <w:tcBorders>
              <w:tl2br w:val="nil"/>
              <w:tr2bl w:val="nil"/>
            </w:tcBorders>
            <w:shd w:val="clear" w:color="auto" w:fill="auto"/>
            <w:vAlign w:val="center"/>
          </w:tcPr>
          <w:p>
            <w:pPr>
              <w:widowControl/>
              <w:rPr>
                <w:rFonts w:ascii="宋体" w:hAnsi="宋体" w:cs="宋体"/>
                <w:color w:val="000000"/>
                <w:kern w:val="0"/>
                <w:sz w:val="22"/>
              </w:rPr>
            </w:pPr>
            <w:r>
              <w:rPr>
                <w:rFonts w:hint="eastAsia" w:ascii="宋体" w:hAnsi="宋体" w:cs="宋体"/>
                <w:color w:val="000000"/>
                <w:kern w:val="0"/>
                <w:sz w:val="22"/>
              </w:rPr>
              <w:t>有影像设备放射防护性能和工作场所防护设施检测，医疗机构按照规定的项目和周期进行稳定性检测，并有记录；</w:t>
            </w:r>
          </w:p>
        </w:tc>
        <w:tc>
          <w:tcPr>
            <w:tcW w:w="3178" w:type="dxa"/>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每项5分</w:t>
            </w:r>
          </w:p>
        </w:tc>
        <w:tc>
          <w:tcPr>
            <w:tcW w:w="752" w:type="dxa"/>
            <w:gridSpan w:val="3"/>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67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812" w:type="dxa"/>
            <w:gridSpan w:val="2"/>
            <w:tcBorders>
              <w:tl2br w:val="nil"/>
              <w:tr2bl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bl>
    <w:p>
      <w:pPr>
        <w:spacing w:line="500" w:lineRule="exact"/>
        <w:rPr>
          <w:rFonts w:ascii="黑体" w:eastAsia="黑体"/>
          <w:sz w:val="32"/>
          <w:szCs w:val="32"/>
        </w:rPr>
      </w:pPr>
      <w:r>
        <w:rPr>
          <w:rFonts w:hint="eastAsia" w:ascii="黑体" w:eastAsia="黑体"/>
          <w:sz w:val="32"/>
          <w:szCs w:val="32"/>
        </w:rPr>
        <w:t>附件2</w:t>
      </w:r>
    </w:p>
    <w:p>
      <w:pPr>
        <w:spacing w:after="120" w:line="5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2019年全市“卫监——百日行动”汇总表</w:t>
      </w:r>
    </w:p>
    <w:p>
      <w:pPr>
        <w:ind w:left="0" w:leftChars="0" w:firstLine="0" w:firstLineChars="0"/>
      </w:pPr>
      <w:r>
        <w:rPr>
          <w:rFonts w:hint="eastAsia"/>
          <w:lang w:val="en-US" w:eastAsia="zh-CN"/>
        </w:rPr>
        <w:t xml:space="preserve"> </w:t>
      </w:r>
      <w:r>
        <w:rPr>
          <w:rFonts w:hint="eastAsia"/>
          <w:u w:val="single"/>
          <w:lang w:val="en-US" w:eastAsia="zh-CN"/>
        </w:rPr>
        <w:t xml:space="preserve">                        </w:t>
      </w:r>
      <w:r>
        <w:rPr>
          <w:rFonts w:hint="eastAsia"/>
        </w:rPr>
        <w:t>县、区</w:t>
      </w:r>
    </w:p>
    <w:tbl>
      <w:tblPr>
        <w:tblStyle w:val="5"/>
        <w:tblW w:w="14615" w:type="dxa"/>
        <w:jc w:val="center"/>
        <w:tblInd w:w="0" w:type="dxa"/>
        <w:tblLayout w:type="fixed"/>
        <w:tblCellMar>
          <w:top w:w="0" w:type="dxa"/>
          <w:left w:w="108" w:type="dxa"/>
          <w:bottom w:w="0" w:type="dxa"/>
          <w:right w:w="108" w:type="dxa"/>
        </w:tblCellMar>
      </w:tblPr>
      <w:tblGrid>
        <w:gridCol w:w="1314"/>
        <w:gridCol w:w="708"/>
        <w:gridCol w:w="709"/>
        <w:gridCol w:w="567"/>
        <w:gridCol w:w="709"/>
        <w:gridCol w:w="425"/>
        <w:gridCol w:w="403"/>
        <w:gridCol w:w="425"/>
        <w:gridCol w:w="425"/>
        <w:gridCol w:w="426"/>
        <w:gridCol w:w="425"/>
        <w:gridCol w:w="425"/>
        <w:gridCol w:w="425"/>
        <w:gridCol w:w="426"/>
        <w:gridCol w:w="425"/>
        <w:gridCol w:w="425"/>
        <w:gridCol w:w="709"/>
        <w:gridCol w:w="708"/>
        <w:gridCol w:w="851"/>
        <w:gridCol w:w="709"/>
        <w:gridCol w:w="708"/>
        <w:gridCol w:w="709"/>
        <w:gridCol w:w="709"/>
        <w:gridCol w:w="850"/>
      </w:tblGrid>
      <w:tr>
        <w:tblPrEx>
          <w:tblLayout w:type="fixed"/>
          <w:tblCellMar>
            <w:top w:w="0" w:type="dxa"/>
            <w:left w:w="108" w:type="dxa"/>
            <w:bottom w:w="0" w:type="dxa"/>
            <w:right w:w="108" w:type="dxa"/>
          </w:tblCellMar>
        </w:tblPrEx>
        <w:trPr>
          <w:trHeight w:val="416" w:hRule="atLeast"/>
          <w:jc w:val="center"/>
        </w:trPr>
        <w:tc>
          <w:tcPr>
            <w:tcW w:w="131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类别</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辖区</w:t>
            </w:r>
            <w:r>
              <w:rPr>
                <w:rFonts w:ascii="Courier New" w:hAnsi="Courier New" w:cs="Courier New"/>
                <w:color w:val="000000"/>
                <w:kern w:val="0"/>
                <w:sz w:val="24"/>
                <w:szCs w:val="24"/>
              </w:rPr>
              <w:br w:type="textWrapping"/>
            </w:r>
            <w:r>
              <w:rPr>
                <w:rFonts w:ascii="Courier New" w:hAnsi="Courier New" w:cs="Courier New"/>
                <w:color w:val="000000"/>
                <w:kern w:val="0"/>
                <w:sz w:val="24"/>
                <w:szCs w:val="24"/>
              </w:rPr>
              <w:t>机构数</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抽查</w:t>
            </w:r>
            <w:r>
              <w:rPr>
                <w:rFonts w:ascii="Courier New" w:hAnsi="Courier New" w:cs="Courier New"/>
                <w:color w:val="000000"/>
                <w:kern w:val="0"/>
                <w:sz w:val="24"/>
                <w:szCs w:val="24"/>
              </w:rPr>
              <w:br w:type="textWrapping"/>
            </w:r>
            <w:r>
              <w:rPr>
                <w:rFonts w:ascii="Courier New" w:hAnsi="Courier New" w:cs="Courier New"/>
                <w:color w:val="000000"/>
                <w:kern w:val="0"/>
                <w:sz w:val="24"/>
                <w:szCs w:val="24"/>
              </w:rPr>
              <w:t>机构数</w:t>
            </w:r>
          </w:p>
        </w:tc>
        <w:tc>
          <w:tcPr>
            <w:tcW w:w="567" w:type="dxa"/>
            <w:vMerge w:val="restart"/>
            <w:tcBorders>
              <w:top w:val="single" w:color="auto" w:sz="4" w:space="0"/>
              <w:left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抽检率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查处案件数</w:t>
            </w:r>
          </w:p>
        </w:tc>
        <w:tc>
          <w:tcPr>
            <w:tcW w:w="4655" w:type="dxa"/>
            <w:gridSpan w:val="11"/>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Courier New" w:hAnsi="Courier New" w:cs="Courier New"/>
                <w:color w:val="000000"/>
                <w:kern w:val="0"/>
                <w:sz w:val="24"/>
                <w:szCs w:val="24"/>
              </w:rPr>
              <w:t>违法情形（件）</w:t>
            </w:r>
          </w:p>
        </w:tc>
        <w:tc>
          <w:tcPr>
            <w:tcW w:w="5953" w:type="dxa"/>
            <w:gridSpan w:val="8"/>
            <w:tcBorders>
              <w:top w:val="single" w:color="auto" w:sz="4" w:space="0"/>
              <w:left w:val="nil"/>
              <w:bottom w:val="single" w:color="auto" w:sz="4" w:space="0"/>
              <w:right w:val="single" w:color="auto" w:sz="4" w:space="0"/>
            </w:tcBorders>
            <w:vAlign w:val="center"/>
          </w:tcPr>
          <w:p>
            <w:pPr>
              <w:jc w:val="center"/>
              <w:rPr>
                <w:rFonts w:ascii="Courier New" w:hAnsi="Courier New" w:cs="Courier New"/>
                <w:color w:val="000000"/>
                <w:kern w:val="0"/>
                <w:szCs w:val="21"/>
              </w:rPr>
            </w:pPr>
            <w:r>
              <w:rPr>
                <w:rFonts w:ascii="Courier New" w:hAnsi="Courier New" w:cs="Courier New"/>
                <w:color w:val="000000"/>
                <w:kern w:val="0"/>
                <w:sz w:val="24"/>
                <w:szCs w:val="24"/>
              </w:rPr>
              <w:t>处理结果</w:t>
            </w:r>
            <w:r>
              <w:rPr>
                <w:rFonts w:ascii="Courier New" w:hAnsi="Courier New" w:cs="Courier New"/>
                <w:color w:val="000000"/>
                <w:kern w:val="0"/>
                <w:sz w:val="24"/>
                <w:szCs w:val="24"/>
                <w:vertAlign w:val="superscript"/>
              </w:rPr>
              <w:t>*</w:t>
            </w:r>
          </w:p>
        </w:tc>
      </w:tr>
      <w:tr>
        <w:tblPrEx>
          <w:tblLayout w:type="fixed"/>
          <w:tblCellMar>
            <w:top w:w="0" w:type="dxa"/>
            <w:left w:w="108" w:type="dxa"/>
            <w:bottom w:w="0" w:type="dxa"/>
            <w:right w:w="108" w:type="dxa"/>
          </w:tblCellMar>
        </w:tblPrEx>
        <w:trPr>
          <w:trHeight w:val="570" w:hRule="atLeast"/>
          <w:jc w:val="center"/>
        </w:trPr>
        <w:tc>
          <w:tcPr>
            <w:tcW w:w="131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567" w:type="dxa"/>
            <w:vMerge w:val="continue"/>
            <w:tcBorders>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A</w:t>
            </w: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B</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C</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D</w:t>
            </w: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E</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F</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G</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H</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Courier New" w:hAnsi="Courier New" w:cs="Courier New"/>
                <w:color w:val="000000"/>
                <w:kern w:val="0"/>
                <w:sz w:val="24"/>
                <w:szCs w:val="24"/>
              </w:rPr>
              <w:t>I</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Courier New" w:hAnsi="Courier New" w:cs="Courier New"/>
                <w:color w:val="000000"/>
                <w:kern w:val="0"/>
                <w:sz w:val="24"/>
                <w:szCs w:val="24"/>
              </w:rPr>
              <w:t>J</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K</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警告</w:t>
            </w:r>
          </w:p>
          <w:p>
            <w:pPr>
              <w:widowControl/>
              <w:jc w:val="center"/>
              <w:rPr>
                <w:rFonts w:ascii="Courier New" w:hAnsi="Courier New" w:cs="Courier New"/>
                <w:color w:val="000000"/>
                <w:kern w:val="0"/>
                <w:sz w:val="24"/>
                <w:szCs w:val="24"/>
              </w:rPr>
            </w:pPr>
            <w:r>
              <w:rPr>
                <w:rFonts w:hint="eastAsia" w:ascii="Courier New" w:hAnsi="Courier New" w:cs="Courier New"/>
                <w:color w:val="000000"/>
                <w:kern w:val="0"/>
                <w:sz w:val="18"/>
                <w:szCs w:val="18"/>
              </w:rPr>
              <w:t>（件）</w:t>
            </w: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ascii="Courier New" w:hAnsi="Courier New" w:cs="Courier New"/>
                <w:color w:val="000000"/>
                <w:kern w:val="0"/>
                <w:sz w:val="24"/>
                <w:szCs w:val="24"/>
              </w:rPr>
              <w:t>罚款</w:t>
            </w:r>
            <w:r>
              <w:rPr>
                <w:rFonts w:ascii="Courier New" w:hAnsi="Courier New" w:cs="Courier New"/>
                <w:color w:val="000000"/>
                <w:kern w:val="0"/>
                <w:sz w:val="24"/>
                <w:szCs w:val="24"/>
              </w:rPr>
              <w:br w:type="textWrapping"/>
            </w:r>
            <w:r>
              <w:rPr>
                <w:rFonts w:ascii="Courier New" w:hAnsi="Courier New" w:cs="Courier New"/>
                <w:color w:val="000000"/>
                <w:kern w:val="0"/>
                <w:sz w:val="18"/>
                <w:szCs w:val="18"/>
              </w:rPr>
              <w:t>（</w:t>
            </w:r>
            <w:r>
              <w:rPr>
                <w:rFonts w:hint="eastAsia" w:ascii="Courier New" w:hAnsi="Courier New" w:cs="Courier New"/>
                <w:color w:val="000000"/>
                <w:kern w:val="0"/>
                <w:sz w:val="18"/>
                <w:szCs w:val="18"/>
              </w:rPr>
              <w:t>件</w:t>
            </w:r>
            <w:r>
              <w:rPr>
                <w:rFonts w:ascii="Courier New" w:hAnsi="Courier New" w:cs="Courier New"/>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罚没款</w:t>
            </w:r>
            <w:r>
              <w:rPr>
                <w:rFonts w:ascii="Courier New" w:hAnsi="Courier New" w:cs="Courier New"/>
                <w:color w:val="000000"/>
                <w:kern w:val="0"/>
                <w:szCs w:val="21"/>
              </w:rPr>
              <w:br w:type="textWrapping"/>
            </w:r>
            <w:r>
              <w:rPr>
                <w:rFonts w:ascii="Courier New" w:hAnsi="Courier New" w:cs="Courier New"/>
                <w:color w:val="000000"/>
                <w:kern w:val="0"/>
                <w:sz w:val="18"/>
                <w:szCs w:val="18"/>
              </w:rPr>
              <w:t>（万元）</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暂停</w:t>
            </w:r>
            <w:r>
              <w:rPr>
                <w:rFonts w:ascii="Courier New" w:hAnsi="Courier New" w:cs="Courier New"/>
                <w:color w:val="000000"/>
                <w:kern w:val="0"/>
                <w:szCs w:val="21"/>
              </w:rPr>
              <w:br w:type="textWrapping"/>
            </w:r>
            <w:r>
              <w:rPr>
                <w:rFonts w:ascii="Courier New" w:hAnsi="Courier New" w:cs="Courier New"/>
                <w:color w:val="000000"/>
                <w:kern w:val="0"/>
                <w:szCs w:val="21"/>
              </w:rPr>
              <w:t>执业</w:t>
            </w:r>
          </w:p>
          <w:p>
            <w:pPr>
              <w:widowControl/>
              <w:jc w:val="center"/>
              <w:rPr>
                <w:rFonts w:ascii="Courier New" w:hAnsi="Courier New" w:cs="Courier New"/>
                <w:color w:val="000000"/>
                <w:kern w:val="0"/>
                <w:sz w:val="18"/>
                <w:szCs w:val="18"/>
              </w:rPr>
            </w:pPr>
            <w:r>
              <w:rPr>
                <w:rFonts w:hint="eastAsia" w:ascii="Courier New" w:hAnsi="Courier New" w:cs="Courier New"/>
                <w:color w:val="000000"/>
                <w:kern w:val="0"/>
                <w:sz w:val="18"/>
                <w:szCs w:val="18"/>
              </w:rPr>
              <w:t>（家）</w:t>
            </w: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吊销诊疗科目</w:t>
            </w:r>
          </w:p>
          <w:p>
            <w:pPr>
              <w:widowControl/>
              <w:jc w:val="center"/>
              <w:rPr>
                <w:rFonts w:ascii="Courier New" w:hAnsi="Courier New" w:cs="Courier New"/>
                <w:color w:val="000000"/>
                <w:kern w:val="0"/>
                <w:szCs w:val="21"/>
              </w:rPr>
            </w:pPr>
            <w:r>
              <w:rPr>
                <w:rFonts w:hint="eastAsia" w:ascii="Courier New" w:hAnsi="Courier New" w:cs="Courier New"/>
                <w:color w:val="000000"/>
                <w:kern w:val="0"/>
                <w:sz w:val="18"/>
                <w:szCs w:val="18"/>
              </w:rPr>
              <w:t>（家）</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吊销许可证</w:t>
            </w:r>
          </w:p>
          <w:p>
            <w:pPr>
              <w:widowControl/>
              <w:jc w:val="center"/>
              <w:rPr>
                <w:rFonts w:ascii="Courier New" w:hAnsi="Courier New" w:cs="Courier New"/>
                <w:color w:val="000000"/>
                <w:kern w:val="0"/>
                <w:szCs w:val="21"/>
              </w:rPr>
            </w:pPr>
            <w:r>
              <w:rPr>
                <w:rFonts w:hint="eastAsia" w:ascii="Courier New" w:hAnsi="Courier New" w:cs="Courier New"/>
                <w:color w:val="000000"/>
                <w:kern w:val="0"/>
                <w:sz w:val="18"/>
                <w:szCs w:val="18"/>
              </w:rPr>
              <w:t>（家）</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吊销执业证书</w:t>
            </w:r>
          </w:p>
          <w:p>
            <w:pPr>
              <w:widowControl/>
              <w:jc w:val="center"/>
              <w:rPr>
                <w:rFonts w:ascii="Courier New" w:hAnsi="Courier New" w:cs="Courier New"/>
                <w:color w:val="000000"/>
                <w:kern w:val="0"/>
                <w:szCs w:val="21"/>
              </w:rPr>
            </w:pPr>
            <w:r>
              <w:rPr>
                <w:rFonts w:hint="eastAsia" w:ascii="Courier New" w:hAnsi="Courier New" w:cs="Courier New"/>
                <w:color w:val="000000"/>
                <w:kern w:val="0"/>
                <w:sz w:val="18"/>
                <w:szCs w:val="18"/>
              </w:rPr>
              <w:t>（人）</w:t>
            </w: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r>
              <w:rPr>
                <w:rFonts w:ascii="Courier New" w:hAnsi="Courier New" w:cs="Courier New"/>
                <w:color w:val="000000"/>
                <w:kern w:val="0"/>
                <w:szCs w:val="21"/>
              </w:rPr>
              <w:t>移送</w:t>
            </w:r>
            <w:r>
              <w:rPr>
                <w:rFonts w:hint="eastAsia" w:ascii="Courier New" w:hAnsi="Courier New" w:cs="Courier New"/>
                <w:color w:val="000000"/>
                <w:kern w:val="0"/>
                <w:szCs w:val="21"/>
              </w:rPr>
              <w:t>或通报</w:t>
            </w:r>
            <w:r>
              <w:rPr>
                <w:rFonts w:ascii="Courier New" w:hAnsi="Courier New" w:cs="Courier New"/>
                <w:color w:val="000000"/>
                <w:kern w:val="0"/>
                <w:szCs w:val="21"/>
              </w:rPr>
              <w:t>其他部门</w:t>
            </w:r>
          </w:p>
          <w:p>
            <w:pPr>
              <w:widowControl/>
              <w:jc w:val="center"/>
              <w:rPr>
                <w:rFonts w:ascii="Courier New" w:hAnsi="Courier New" w:cs="Courier New"/>
                <w:color w:val="000000"/>
                <w:kern w:val="0"/>
                <w:szCs w:val="21"/>
              </w:rPr>
            </w:pPr>
            <w:r>
              <w:rPr>
                <w:rFonts w:hint="eastAsia" w:ascii="Courier New" w:hAnsi="Courier New" w:cs="Courier New"/>
                <w:color w:val="000000"/>
                <w:kern w:val="0"/>
                <w:sz w:val="18"/>
                <w:szCs w:val="18"/>
              </w:rPr>
              <w:t>（件）</w:t>
            </w:r>
          </w:p>
        </w:tc>
      </w:tr>
      <w:tr>
        <w:tblPrEx>
          <w:tblLayout w:type="fixed"/>
          <w:tblCellMar>
            <w:top w:w="0" w:type="dxa"/>
            <w:left w:w="108" w:type="dxa"/>
            <w:bottom w:w="0" w:type="dxa"/>
            <w:right w:w="108" w:type="dxa"/>
          </w:tblCellMar>
        </w:tblPrEx>
        <w:trPr>
          <w:trHeight w:val="395"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三级医院</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415"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二级医院</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707"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一级医院</w:t>
            </w:r>
          </w:p>
          <w:p>
            <w:pPr>
              <w:widowControl/>
              <w:jc w:val="center"/>
              <w:rPr>
                <w:rFonts w:ascii="仿宋_GB2312" w:hAnsi="Courier New" w:eastAsia="仿宋_GB2312" w:cs="Courier New"/>
                <w:color w:val="000000"/>
                <w:spacing w:val="-20"/>
                <w:kern w:val="0"/>
                <w:sz w:val="24"/>
                <w:szCs w:val="24"/>
              </w:rPr>
            </w:pPr>
            <w:r>
              <w:rPr>
                <w:rFonts w:hint="eastAsia" w:ascii="仿宋_GB2312" w:hAnsi="Courier New" w:eastAsia="仿宋_GB2312" w:cs="Courier New"/>
                <w:color w:val="000000"/>
                <w:spacing w:val="-20"/>
                <w:kern w:val="0"/>
                <w:sz w:val="24"/>
                <w:szCs w:val="24"/>
              </w:rPr>
              <w:t>(含未定级）</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449"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门诊部</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468"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诊所</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379"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r>
              <w:rPr>
                <w:rFonts w:hint="eastAsia" w:ascii="仿宋_GB2312" w:hAnsi="Courier New" w:eastAsia="仿宋_GB2312" w:cs="Courier New"/>
                <w:color w:val="000000"/>
                <w:kern w:val="0"/>
                <w:sz w:val="24"/>
                <w:szCs w:val="24"/>
              </w:rPr>
              <w:t>合计</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color w:val="000000"/>
                <w:kern w:val="0"/>
                <w:sz w:val="24"/>
                <w:szCs w:val="24"/>
              </w:rPr>
            </w:pPr>
          </w:p>
        </w:tc>
        <w:tc>
          <w:tcPr>
            <w:tcW w:w="425" w:type="dxa"/>
            <w:tcBorders>
              <w:top w:val="single" w:color="auto" w:sz="4" w:space="0"/>
              <w:left w:val="nil"/>
              <w:bottom w:val="single" w:color="auto" w:sz="4" w:space="0"/>
              <w:right w:val="single" w:color="auto" w:sz="4" w:space="0"/>
            </w:tcBorders>
          </w:tcPr>
          <w:p>
            <w:pPr>
              <w:widowControl/>
              <w:jc w:val="center"/>
              <w:rPr>
                <w:rFonts w:ascii="Courier New" w:hAnsi="Courier New" w:cs="Courier New"/>
                <w:color w:val="000000"/>
                <w:kern w:val="0"/>
                <w:sz w:val="24"/>
                <w:szCs w:val="24"/>
              </w:rPr>
            </w:pP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r>
              <w:rPr>
                <w:rFonts w:hint="eastAsia" w:ascii="仿宋_GB2312" w:hAnsi="Courier New" w:eastAsia="仿宋_GB2312" w:cs="Courier New"/>
                <w:color w:val="000000"/>
                <w:kern w:val="0"/>
                <w:sz w:val="24"/>
                <w:szCs w:val="24"/>
              </w:rPr>
              <w:t>-</w:t>
            </w: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color w:val="000000"/>
                <w:kern w:val="0"/>
                <w:szCs w:val="21"/>
              </w:rPr>
            </w:pPr>
          </w:p>
        </w:tc>
      </w:tr>
      <w:tr>
        <w:tblPrEx>
          <w:tblLayout w:type="fixed"/>
          <w:tblCellMar>
            <w:top w:w="0" w:type="dxa"/>
            <w:left w:w="108" w:type="dxa"/>
            <w:bottom w:w="0" w:type="dxa"/>
            <w:right w:w="108" w:type="dxa"/>
          </w:tblCellMar>
        </w:tblPrEx>
        <w:trPr>
          <w:trHeight w:val="463" w:hRule="atLeast"/>
          <w:jc w:val="center"/>
        </w:trPr>
        <w:tc>
          <w:tcPr>
            <w:tcW w:w="1314" w:type="dxa"/>
            <w:tcBorders>
              <w:top w:val="nil"/>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个人</w:t>
            </w:r>
          </w:p>
        </w:tc>
        <w:tc>
          <w:tcPr>
            <w:tcW w:w="708" w:type="dxa"/>
            <w:tcBorders>
              <w:top w:val="nil"/>
              <w:left w:val="nil"/>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w:t>
            </w:r>
          </w:p>
        </w:tc>
        <w:tc>
          <w:tcPr>
            <w:tcW w:w="425" w:type="dxa"/>
            <w:tcBorders>
              <w:top w:val="single" w:color="auto" w:sz="4" w:space="0"/>
              <w:left w:val="nil"/>
              <w:bottom w:val="single" w:color="auto" w:sz="4" w:space="0"/>
              <w:right w:val="single" w:color="auto" w:sz="4" w:space="0"/>
            </w:tcBorders>
            <w:vAlign w:val="center"/>
          </w:tcPr>
          <w:p>
            <w:pPr>
              <w:widowControl/>
              <w:jc w:val="cente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w:t>
            </w:r>
          </w:p>
        </w:tc>
        <w:tc>
          <w:tcPr>
            <w:tcW w:w="403"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6"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5"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r>
              <w:rPr>
                <w:rFonts w:hint="eastAsia" w:ascii="仿宋_GB2312" w:hAnsi="Courier New" w:eastAsia="仿宋_GB2312" w:cs="Courier New"/>
                <w:kern w:val="0"/>
                <w:sz w:val="24"/>
                <w:szCs w:val="24"/>
              </w:rPr>
              <w:t>-</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kern w:val="0"/>
                <w:sz w:val="24"/>
                <w:szCs w:val="24"/>
              </w:rPr>
            </w:pPr>
          </w:p>
        </w:tc>
        <w:tc>
          <w:tcPr>
            <w:tcW w:w="425" w:type="dxa"/>
            <w:tcBorders>
              <w:top w:val="nil"/>
              <w:left w:val="single" w:color="auto" w:sz="4" w:space="0"/>
              <w:bottom w:val="single" w:color="auto" w:sz="4" w:space="0"/>
              <w:right w:val="single" w:color="auto" w:sz="4" w:space="0"/>
            </w:tcBorders>
            <w:vAlign w:val="center"/>
          </w:tcPr>
          <w:p>
            <w:pPr>
              <w:widowControl/>
              <w:jc w:val="center"/>
              <w:rPr>
                <w:rFonts w:ascii="Courier New" w:hAnsi="Courier New" w:cs="Courier New"/>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p>
        </w:tc>
        <w:tc>
          <w:tcPr>
            <w:tcW w:w="708"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r>
              <w:rPr>
                <w:rFonts w:hint="eastAsia" w:ascii="仿宋_GB2312" w:hAnsi="Courier New" w:eastAsia="仿宋_GB2312" w:cs="Courier New"/>
                <w:kern w:val="0"/>
                <w:sz w:val="24"/>
                <w:szCs w:val="24"/>
              </w:rPr>
              <w:t>-</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r>
              <w:rPr>
                <w:rFonts w:hint="eastAsia" w:ascii="仿宋_GB2312" w:hAnsi="Courier New" w:eastAsia="仿宋_GB2312" w:cs="Courier New"/>
                <w:kern w:val="0"/>
                <w:sz w:val="24"/>
                <w:szCs w:val="24"/>
              </w:rPr>
              <w:t>-</w:t>
            </w:r>
          </w:p>
        </w:tc>
        <w:tc>
          <w:tcPr>
            <w:tcW w:w="709"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Courier New" w:hAnsi="Courier New" w:cs="Courier New"/>
                <w:kern w:val="0"/>
                <w:szCs w:val="21"/>
              </w:rPr>
            </w:pPr>
          </w:p>
        </w:tc>
      </w:tr>
    </w:tbl>
    <w:p>
      <w:pPr>
        <w:widowControl/>
        <w:spacing w:before="120" w:after="120"/>
        <w:rPr>
          <w:rFonts w:ascii="Courier New" w:hAnsi="Courier New" w:cs="Courier New"/>
          <w:kern w:val="0"/>
          <w:szCs w:val="21"/>
        </w:rPr>
      </w:pPr>
      <w:r>
        <w:rPr>
          <w:rFonts w:ascii="Courier New" w:hAnsi="Courier New" w:cs="Courier New"/>
          <w:kern w:val="0"/>
          <w:szCs w:val="21"/>
        </w:rPr>
        <w:t>填表人：</w:t>
      </w:r>
      <w:r>
        <w:rPr>
          <w:rFonts w:hint="eastAsia" w:ascii="Courier New" w:hAnsi="Courier New" w:cs="Courier New"/>
          <w:kern w:val="0"/>
          <w:szCs w:val="21"/>
          <w:lang w:val="en-US" w:eastAsia="zh-CN"/>
        </w:rPr>
        <w:t xml:space="preserve">                             </w:t>
      </w:r>
      <w:r>
        <w:rPr>
          <w:rFonts w:ascii="Courier New" w:hAnsi="Courier New" w:cs="Courier New"/>
          <w:kern w:val="0"/>
          <w:szCs w:val="21"/>
        </w:rPr>
        <w:t>联系电话：</w:t>
      </w:r>
      <w:r>
        <w:rPr>
          <w:rFonts w:hint="eastAsia" w:ascii="Courier New" w:hAnsi="Courier New" w:cs="Courier New"/>
          <w:kern w:val="0"/>
          <w:szCs w:val="21"/>
          <w:lang w:val="en-US" w:eastAsia="zh-CN"/>
        </w:rPr>
        <w:t xml:space="preserve">                      </w:t>
      </w:r>
      <w:r>
        <w:rPr>
          <w:rFonts w:ascii="Courier New" w:hAnsi="Courier New" w:cs="Courier New"/>
          <w:kern w:val="0"/>
          <w:szCs w:val="21"/>
        </w:rPr>
        <w:t>填表日期：</w:t>
      </w:r>
      <w:r>
        <w:rPr>
          <w:rFonts w:hint="eastAsia" w:ascii="Courier New" w:hAnsi="Courier New" w:cs="Courier New"/>
          <w:kern w:val="0"/>
          <w:szCs w:val="21"/>
          <w:lang w:val="en-US" w:eastAsia="zh-CN"/>
        </w:rPr>
        <w:t xml:space="preserve">                                </w:t>
      </w:r>
      <w:r>
        <w:rPr>
          <w:rFonts w:ascii="Courier New" w:hAnsi="Courier New" w:cs="Courier New"/>
          <w:kern w:val="0"/>
          <w:szCs w:val="21"/>
        </w:rPr>
        <w:t>审核人：</w:t>
      </w:r>
    </w:p>
    <w:p>
      <w:pPr>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注：A、未取得《医疗机构执业许可证》擅自执业；B、逾期不校验《医疗机构执业许可证》仍从事诊疗活动；C、出卖、转让、出借《医疗机构执业许可证》；D、诊疗活动超出登记范围； E、未取得《母婴保健技术服务执业许可证》开展母婴保健技术服务；F、使用非卫生技术人员从事医疗卫生技术工作；G、出具虚假证明文件；H：违规开展干细胞临床研究和应用；I、医务人员未取得执业资格开展诊疗活动；J、未取得《母婴保健技术服务考核合格证》从事母婴保健技术服务；K、其他。</w:t>
      </w:r>
    </w:p>
    <w:p>
      <w:r>
        <w:rPr>
          <w:rFonts w:hint="eastAsia" w:ascii="仿宋_GB2312" w:hAnsi="Courier New" w:eastAsia="仿宋_GB2312" w:cs="Courier New"/>
          <w:kern w:val="0"/>
          <w:sz w:val="24"/>
          <w:szCs w:val="24"/>
        </w:rPr>
        <w:t>* 以《处罚决定书》、《案件移送书》或通报函送达数量为准。</w:t>
      </w:r>
    </w:p>
    <w:p>
      <w:pPr>
        <w:spacing w:line="590" w:lineRule="exact"/>
        <w:rPr>
          <w:rFonts w:ascii="黑体" w:hAnsi="楷体" w:eastAsia="黑体"/>
          <w:color w:val="000000"/>
          <w:sz w:val="32"/>
          <w:szCs w:val="32"/>
        </w:rPr>
      </w:pPr>
      <w:r>
        <w:rPr>
          <w:rFonts w:hint="eastAsia" w:ascii="黑体" w:hAnsi="楷体" w:eastAsia="黑体" w:cs="黑体"/>
          <w:color w:val="000000"/>
          <w:sz w:val="32"/>
          <w:szCs w:val="32"/>
        </w:rPr>
        <w:t>附件3</w:t>
      </w:r>
    </w:p>
    <w:p>
      <w:pPr>
        <w:spacing w:afterLines="100" w:line="590" w:lineRule="exact"/>
        <w:ind w:firstLine="880" w:firstLineChars="200"/>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2019年全市“亮剑</w:t>
      </w:r>
      <w:r>
        <w:rPr>
          <w:rFonts w:hint="eastAsia" w:ascii="方正小标宋_GBK" w:hAnsi="方正小标宋_GBK" w:eastAsia="方正小标宋_GBK" w:cs="方正小标宋_GBK"/>
          <w:bCs/>
          <w:sz w:val="44"/>
          <w:szCs w:val="44"/>
        </w:rPr>
        <w:t>——</w:t>
      </w:r>
      <w:r>
        <w:rPr>
          <w:rFonts w:hint="eastAsia" w:ascii="方正小标宋_GBK" w:hAnsi="方正小标宋_GBK" w:eastAsia="方正小标宋_GBK" w:cs="方正小标宋_GBK"/>
          <w:bCs/>
          <w:color w:val="000000"/>
          <w:sz w:val="44"/>
          <w:szCs w:val="44"/>
        </w:rPr>
        <w:t>百日行动”汇总表</w:t>
      </w:r>
    </w:p>
    <w:p>
      <w:pPr>
        <w:spacing w:line="590" w:lineRule="exact"/>
        <w:rPr>
          <w:rFonts w:ascii="仿宋_GB2312" w:hAnsi="华文中宋" w:eastAsia="仿宋_GB2312"/>
          <w:color w:val="000000"/>
          <w:sz w:val="32"/>
          <w:szCs w:val="32"/>
        </w:rPr>
      </w:pPr>
      <w:r>
        <w:rPr>
          <w:rFonts w:hint="eastAsia" w:ascii="仿宋_GB2312" w:hAnsi="楷体_GB2312" w:eastAsia="仿宋_GB2312" w:cs="仿宋_GB2312"/>
          <w:sz w:val="28"/>
          <w:szCs w:val="28"/>
          <w:u w:val="single"/>
          <w:lang w:val="en-US" w:eastAsia="zh-CN"/>
        </w:rPr>
        <w:t xml:space="preserve">                      </w:t>
      </w:r>
      <w:r>
        <w:rPr>
          <w:rFonts w:hint="eastAsia" w:ascii="仿宋_GB2312" w:hAnsi="楷体_GB2312" w:eastAsia="仿宋_GB2312" w:cs="仿宋_GB2312"/>
          <w:sz w:val="28"/>
          <w:szCs w:val="28"/>
        </w:rPr>
        <w:t>县（区）卫生健康委（签章）</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815"/>
        <w:gridCol w:w="1388"/>
        <w:gridCol w:w="1299"/>
        <w:gridCol w:w="1389"/>
        <w:gridCol w:w="1268"/>
        <w:gridCol w:w="1284"/>
        <w:gridCol w:w="1255"/>
        <w:gridCol w:w="1255"/>
        <w:gridCol w:w="1255"/>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vMerge w:val="restart"/>
            <w:vAlign w:val="center"/>
          </w:tcPr>
          <w:p>
            <w:pPr>
              <w:spacing w:line="420" w:lineRule="exact"/>
              <w:jc w:val="center"/>
              <w:rPr>
                <w:rFonts w:ascii="黑体" w:hAnsi="黑体" w:eastAsia="黑体"/>
                <w:bCs/>
                <w:color w:val="000000"/>
                <w:sz w:val="24"/>
              </w:rPr>
            </w:pPr>
            <w:r>
              <w:rPr>
                <w:rFonts w:hint="eastAsia" w:ascii="黑体" w:hAnsi="黑体" w:eastAsia="黑体" w:cs="仿宋_GB2312"/>
                <w:bCs/>
                <w:color w:val="000000"/>
                <w:sz w:val="24"/>
              </w:rPr>
              <w:t>序号</w:t>
            </w:r>
          </w:p>
        </w:tc>
        <w:tc>
          <w:tcPr>
            <w:tcW w:w="1815" w:type="dxa"/>
            <w:vMerge w:val="restart"/>
            <w:vAlign w:val="center"/>
          </w:tcPr>
          <w:p>
            <w:pPr>
              <w:spacing w:line="420" w:lineRule="exact"/>
              <w:jc w:val="center"/>
              <w:rPr>
                <w:rFonts w:ascii="黑体" w:hAnsi="黑体" w:eastAsia="黑体"/>
                <w:bCs/>
                <w:color w:val="000000"/>
                <w:sz w:val="24"/>
              </w:rPr>
            </w:pPr>
            <w:r>
              <w:rPr>
                <w:rFonts w:hint="eastAsia" w:ascii="黑体" w:hAnsi="黑体" w:eastAsia="黑体" w:cs="仿宋_GB2312"/>
                <w:bCs/>
                <w:color w:val="000000"/>
                <w:sz w:val="24"/>
              </w:rPr>
              <w:t>案由</w:t>
            </w:r>
          </w:p>
        </w:tc>
        <w:tc>
          <w:tcPr>
            <w:tcW w:w="1388" w:type="dxa"/>
            <w:vMerge w:val="restart"/>
            <w:vAlign w:val="center"/>
          </w:tcPr>
          <w:p>
            <w:pPr>
              <w:spacing w:line="420" w:lineRule="exact"/>
              <w:jc w:val="center"/>
              <w:rPr>
                <w:rFonts w:ascii="黑体" w:hAnsi="黑体" w:eastAsia="黑体" w:cs="仿宋_GB2312"/>
                <w:bCs/>
                <w:color w:val="000000"/>
                <w:sz w:val="24"/>
              </w:rPr>
            </w:pPr>
            <w:r>
              <w:rPr>
                <w:rFonts w:hint="eastAsia" w:ascii="黑体" w:hAnsi="黑体" w:eastAsia="黑体" w:cs="仿宋_GB2312"/>
                <w:bCs/>
                <w:color w:val="000000"/>
                <w:sz w:val="24"/>
              </w:rPr>
              <w:t>文号</w:t>
            </w:r>
          </w:p>
        </w:tc>
        <w:tc>
          <w:tcPr>
            <w:tcW w:w="1299" w:type="dxa"/>
            <w:vMerge w:val="restart"/>
            <w:vAlign w:val="center"/>
          </w:tcPr>
          <w:p>
            <w:pPr>
              <w:spacing w:line="420" w:lineRule="exact"/>
              <w:jc w:val="center"/>
              <w:rPr>
                <w:rFonts w:ascii="黑体" w:hAnsi="黑体" w:eastAsia="黑体" w:cs="仿宋_GB2312"/>
                <w:bCs/>
                <w:color w:val="000000"/>
                <w:sz w:val="24"/>
              </w:rPr>
            </w:pPr>
            <w:r>
              <w:rPr>
                <w:rFonts w:hint="eastAsia" w:ascii="黑体" w:hAnsi="黑体" w:eastAsia="黑体" w:cs="仿宋_GB2312"/>
                <w:bCs/>
                <w:color w:val="000000"/>
                <w:sz w:val="24"/>
              </w:rPr>
              <w:t>当事人</w:t>
            </w:r>
          </w:p>
        </w:tc>
        <w:tc>
          <w:tcPr>
            <w:tcW w:w="1389" w:type="dxa"/>
            <w:vMerge w:val="restart"/>
            <w:vAlign w:val="center"/>
          </w:tcPr>
          <w:p>
            <w:pPr>
              <w:spacing w:line="420" w:lineRule="exact"/>
              <w:jc w:val="center"/>
              <w:rPr>
                <w:rFonts w:ascii="黑体" w:hAnsi="黑体" w:eastAsia="黑体" w:cs="仿宋_GB2312"/>
                <w:bCs/>
                <w:color w:val="000000"/>
                <w:sz w:val="24"/>
              </w:rPr>
            </w:pPr>
            <w:r>
              <w:rPr>
                <w:rFonts w:hint="eastAsia" w:ascii="黑体" w:hAnsi="黑体" w:eastAsia="黑体" w:cs="仿宋_GB2312"/>
                <w:bCs/>
                <w:color w:val="000000"/>
                <w:sz w:val="24"/>
              </w:rPr>
              <w:t>违法事实</w:t>
            </w:r>
          </w:p>
        </w:tc>
        <w:tc>
          <w:tcPr>
            <w:tcW w:w="1268" w:type="dxa"/>
            <w:vMerge w:val="restart"/>
            <w:vAlign w:val="center"/>
          </w:tcPr>
          <w:p>
            <w:pPr>
              <w:spacing w:line="420" w:lineRule="exact"/>
              <w:jc w:val="center"/>
              <w:rPr>
                <w:rFonts w:ascii="黑体" w:hAnsi="黑体" w:eastAsia="黑体" w:cs="仿宋_GB2312"/>
                <w:bCs/>
                <w:color w:val="000000"/>
                <w:sz w:val="24"/>
              </w:rPr>
            </w:pPr>
            <w:r>
              <w:rPr>
                <w:rFonts w:hint="eastAsia" w:ascii="黑体" w:hAnsi="黑体" w:eastAsia="黑体" w:cs="仿宋_GB2312"/>
                <w:bCs/>
                <w:color w:val="000000"/>
                <w:sz w:val="24"/>
              </w:rPr>
              <w:t>承办机构</w:t>
            </w:r>
          </w:p>
        </w:tc>
        <w:tc>
          <w:tcPr>
            <w:tcW w:w="1284" w:type="dxa"/>
            <w:vMerge w:val="restart"/>
            <w:vAlign w:val="center"/>
          </w:tcPr>
          <w:p>
            <w:pPr>
              <w:spacing w:line="420" w:lineRule="exact"/>
              <w:jc w:val="center"/>
              <w:rPr>
                <w:rFonts w:ascii="黑体" w:hAnsi="黑体" w:eastAsia="黑体"/>
                <w:bCs/>
                <w:color w:val="000000"/>
                <w:sz w:val="24"/>
              </w:rPr>
            </w:pPr>
            <w:r>
              <w:rPr>
                <w:rFonts w:hint="eastAsia" w:ascii="黑体" w:hAnsi="黑体" w:eastAsia="黑体" w:cs="仿宋_GB2312"/>
                <w:bCs/>
                <w:color w:val="000000"/>
                <w:sz w:val="24"/>
              </w:rPr>
              <w:t>立案时间</w:t>
            </w:r>
          </w:p>
        </w:tc>
        <w:tc>
          <w:tcPr>
            <w:tcW w:w="3765" w:type="dxa"/>
            <w:gridSpan w:val="3"/>
            <w:vAlign w:val="center"/>
          </w:tcPr>
          <w:p>
            <w:pPr>
              <w:spacing w:line="420" w:lineRule="exact"/>
              <w:jc w:val="center"/>
              <w:rPr>
                <w:rFonts w:ascii="黑体" w:hAnsi="黑体" w:eastAsia="黑体" w:cs="仿宋_GB2312"/>
                <w:bCs/>
                <w:color w:val="000000"/>
                <w:sz w:val="24"/>
              </w:rPr>
            </w:pPr>
            <w:r>
              <w:rPr>
                <w:rFonts w:hint="eastAsia" w:ascii="黑体" w:hAnsi="黑体" w:eastAsia="黑体" w:cs="仿宋_GB2312"/>
                <w:bCs/>
                <w:color w:val="000000"/>
                <w:sz w:val="24"/>
              </w:rPr>
              <w:t>处罚内容</w:t>
            </w:r>
          </w:p>
        </w:tc>
        <w:tc>
          <w:tcPr>
            <w:tcW w:w="1234" w:type="dxa"/>
            <w:vMerge w:val="restart"/>
            <w:vAlign w:val="center"/>
          </w:tcPr>
          <w:p>
            <w:pPr>
              <w:spacing w:line="420" w:lineRule="exact"/>
              <w:jc w:val="center"/>
              <w:rPr>
                <w:rFonts w:ascii="黑体" w:hAnsi="黑体" w:eastAsia="黑体"/>
                <w:bCs/>
                <w:color w:val="000000"/>
                <w:sz w:val="24"/>
              </w:rPr>
            </w:pPr>
            <w:r>
              <w:rPr>
                <w:rFonts w:hint="eastAsia" w:ascii="黑体" w:hAnsi="黑体" w:eastAsia="黑体" w:cs="仿宋_GB2312"/>
                <w:bCs/>
                <w:color w:val="000000"/>
                <w:sz w:val="24"/>
              </w:rPr>
              <w:t>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vMerge w:val="continue"/>
            <w:vAlign w:val="center"/>
          </w:tcPr>
          <w:p>
            <w:pPr>
              <w:spacing w:line="420" w:lineRule="exact"/>
              <w:jc w:val="center"/>
              <w:rPr>
                <w:rFonts w:ascii="黑体" w:hAnsi="黑体" w:eastAsia="黑体"/>
                <w:color w:val="000000"/>
                <w:sz w:val="24"/>
              </w:rPr>
            </w:pPr>
          </w:p>
        </w:tc>
        <w:tc>
          <w:tcPr>
            <w:tcW w:w="1815" w:type="dxa"/>
            <w:vMerge w:val="continue"/>
            <w:vAlign w:val="center"/>
          </w:tcPr>
          <w:p>
            <w:pPr>
              <w:spacing w:line="420" w:lineRule="exact"/>
              <w:jc w:val="center"/>
              <w:rPr>
                <w:rFonts w:ascii="黑体" w:hAnsi="黑体" w:eastAsia="黑体"/>
                <w:color w:val="000000"/>
                <w:sz w:val="24"/>
              </w:rPr>
            </w:pPr>
          </w:p>
        </w:tc>
        <w:tc>
          <w:tcPr>
            <w:tcW w:w="1388" w:type="dxa"/>
            <w:vMerge w:val="continue"/>
            <w:vAlign w:val="center"/>
          </w:tcPr>
          <w:p>
            <w:pPr>
              <w:spacing w:line="420" w:lineRule="exact"/>
              <w:jc w:val="center"/>
              <w:rPr>
                <w:rFonts w:ascii="黑体" w:hAnsi="黑体" w:eastAsia="黑体"/>
                <w:color w:val="000000"/>
                <w:sz w:val="24"/>
              </w:rPr>
            </w:pPr>
          </w:p>
        </w:tc>
        <w:tc>
          <w:tcPr>
            <w:tcW w:w="1299" w:type="dxa"/>
            <w:vMerge w:val="continue"/>
            <w:vAlign w:val="center"/>
          </w:tcPr>
          <w:p>
            <w:pPr>
              <w:spacing w:line="420" w:lineRule="exact"/>
              <w:jc w:val="center"/>
              <w:rPr>
                <w:rFonts w:ascii="黑体" w:hAnsi="黑体" w:eastAsia="黑体"/>
                <w:color w:val="000000"/>
                <w:sz w:val="24"/>
              </w:rPr>
            </w:pPr>
          </w:p>
        </w:tc>
        <w:tc>
          <w:tcPr>
            <w:tcW w:w="1389" w:type="dxa"/>
            <w:vMerge w:val="continue"/>
            <w:vAlign w:val="center"/>
          </w:tcPr>
          <w:p>
            <w:pPr>
              <w:spacing w:line="420" w:lineRule="exact"/>
              <w:jc w:val="center"/>
              <w:rPr>
                <w:rFonts w:ascii="黑体" w:hAnsi="黑体" w:eastAsia="黑体"/>
                <w:color w:val="000000"/>
                <w:sz w:val="24"/>
              </w:rPr>
            </w:pPr>
          </w:p>
        </w:tc>
        <w:tc>
          <w:tcPr>
            <w:tcW w:w="1268" w:type="dxa"/>
            <w:vMerge w:val="continue"/>
            <w:vAlign w:val="center"/>
          </w:tcPr>
          <w:p>
            <w:pPr>
              <w:spacing w:line="420" w:lineRule="exact"/>
              <w:jc w:val="center"/>
              <w:rPr>
                <w:rFonts w:ascii="黑体" w:hAnsi="黑体" w:eastAsia="黑体"/>
                <w:color w:val="000000"/>
                <w:sz w:val="24"/>
              </w:rPr>
            </w:pPr>
          </w:p>
        </w:tc>
        <w:tc>
          <w:tcPr>
            <w:tcW w:w="1284" w:type="dxa"/>
            <w:vMerge w:val="continue"/>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简易</w:t>
            </w:r>
          </w:p>
        </w:tc>
        <w:tc>
          <w:tcPr>
            <w:tcW w:w="1255" w:type="dxa"/>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一般</w:t>
            </w:r>
          </w:p>
        </w:tc>
        <w:tc>
          <w:tcPr>
            <w:tcW w:w="1255" w:type="dxa"/>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听证</w:t>
            </w:r>
          </w:p>
        </w:tc>
        <w:tc>
          <w:tcPr>
            <w:tcW w:w="1234" w:type="dxa"/>
            <w:vMerge w:val="continue"/>
            <w:vAlign w:val="center"/>
          </w:tcPr>
          <w:p>
            <w:pPr>
              <w:spacing w:line="420" w:lineRule="exact"/>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1</w:t>
            </w:r>
          </w:p>
        </w:tc>
        <w:tc>
          <w:tcPr>
            <w:tcW w:w="1815" w:type="dxa"/>
            <w:vAlign w:val="center"/>
          </w:tcPr>
          <w:p>
            <w:pPr>
              <w:spacing w:line="420" w:lineRule="exact"/>
              <w:jc w:val="center"/>
              <w:rPr>
                <w:rFonts w:ascii="黑体" w:hAnsi="黑体" w:eastAsia="黑体"/>
                <w:color w:val="000000"/>
                <w:sz w:val="24"/>
              </w:rPr>
            </w:pPr>
          </w:p>
        </w:tc>
        <w:tc>
          <w:tcPr>
            <w:tcW w:w="1388" w:type="dxa"/>
            <w:vAlign w:val="center"/>
          </w:tcPr>
          <w:p>
            <w:pPr>
              <w:spacing w:line="420" w:lineRule="exact"/>
              <w:jc w:val="center"/>
              <w:rPr>
                <w:rFonts w:ascii="黑体" w:hAnsi="黑体" w:eastAsia="黑体"/>
                <w:color w:val="000000"/>
                <w:sz w:val="24"/>
              </w:rPr>
            </w:pPr>
          </w:p>
        </w:tc>
        <w:tc>
          <w:tcPr>
            <w:tcW w:w="1299" w:type="dxa"/>
            <w:vAlign w:val="center"/>
          </w:tcPr>
          <w:p>
            <w:pPr>
              <w:spacing w:line="420" w:lineRule="exact"/>
              <w:jc w:val="center"/>
              <w:rPr>
                <w:rFonts w:ascii="黑体" w:hAnsi="黑体" w:eastAsia="黑体"/>
                <w:color w:val="000000"/>
                <w:sz w:val="24"/>
              </w:rPr>
            </w:pPr>
          </w:p>
        </w:tc>
        <w:tc>
          <w:tcPr>
            <w:tcW w:w="1389" w:type="dxa"/>
            <w:vAlign w:val="center"/>
          </w:tcPr>
          <w:p>
            <w:pPr>
              <w:spacing w:line="420" w:lineRule="exact"/>
              <w:jc w:val="center"/>
              <w:rPr>
                <w:rFonts w:ascii="黑体" w:hAnsi="黑体" w:eastAsia="黑体"/>
                <w:color w:val="000000"/>
                <w:sz w:val="24"/>
              </w:rPr>
            </w:pPr>
          </w:p>
        </w:tc>
        <w:tc>
          <w:tcPr>
            <w:tcW w:w="1268" w:type="dxa"/>
            <w:vAlign w:val="center"/>
          </w:tcPr>
          <w:p>
            <w:pPr>
              <w:spacing w:line="420" w:lineRule="exact"/>
              <w:jc w:val="center"/>
              <w:rPr>
                <w:rFonts w:ascii="黑体" w:hAnsi="黑体" w:eastAsia="黑体"/>
                <w:color w:val="000000"/>
                <w:sz w:val="24"/>
              </w:rPr>
            </w:pPr>
          </w:p>
        </w:tc>
        <w:tc>
          <w:tcPr>
            <w:tcW w:w="1284"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34" w:type="dxa"/>
            <w:vAlign w:val="center"/>
          </w:tcPr>
          <w:p>
            <w:pPr>
              <w:spacing w:line="420" w:lineRule="exact"/>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vAlign w:val="center"/>
          </w:tcPr>
          <w:p>
            <w:pPr>
              <w:spacing w:line="420" w:lineRule="exact"/>
              <w:jc w:val="center"/>
              <w:rPr>
                <w:rFonts w:ascii="黑体" w:hAnsi="黑体" w:eastAsia="黑体"/>
                <w:color w:val="000000"/>
                <w:sz w:val="24"/>
              </w:rPr>
            </w:pPr>
            <w:r>
              <w:rPr>
                <w:rFonts w:hint="eastAsia" w:ascii="黑体" w:hAnsi="黑体" w:eastAsia="黑体"/>
                <w:color w:val="000000"/>
                <w:sz w:val="24"/>
              </w:rPr>
              <w:t>2</w:t>
            </w:r>
          </w:p>
        </w:tc>
        <w:tc>
          <w:tcPr>
            <w:tcW w:w="1815" w:type="dxa"/>
            <w:vAlign w:val="center"/>
          </w:tcPr>
          <w:p>
            <w:pPr>
              <w:spacing w:line="420" w:lineRule="exact"/>
              <w:jc w:val="center"/>
              <w:rPr>
                <w:rFonts w:ascii="黑体" w:hAnsi="黑体" w:eastAsia="黑体"/>
                <w:color w:val="000000"/>
                <w:sz w:val="24"/>
              </w:rPr>
            </w:pPr>
          </w:p>
        </w:tc>
        <w:tc>
          <w:tcPr>
            <w:tcW w:w="1388" w:type="dxa"/>
            <w:vAlign w:val="center"/>
          </w:tcPr>
          <w:p>
            <w:pPr>
              <w:spacing w:line="420" w:lineRule="exact"/>
              <w:jc w:val="center"/>
              <w:rPr>
                <w:rFonts w:ascii="黑体" w:hAnsi="黑体" w:eastAsia="黑体"/>
                <w:color w:val="000000"/>
                <w:sz w:val="24"/>
              </w:rPr>
            </w:pPr>
          </w:p>
        </w:tc>
        <w:tc>
          <w:tcPr>
            <w:tcW w:w="1299" w:type="dxa"/>
            <w:vAlign w:val="center"/>
          </w:tcPr>
          <w:p>
            <w:pPr>
              <w:spacing w:line="420" w:lineRule="exact"/>
              <w:jc w:val="center"/>
              <w:rPr>
                <w:rFonts w:ascii="黑体" w:hAnsi="黑体" w:eastAsia="黑体"/>
                <w:color w:val="000000"/>
                <w:sz w:val="24"/>
              </w:rPr>
            </w:pPr>
          </w:p>
        </w:tc>
        <w:tc>
          <w:tcPr>
            <w:tcW w:w="1389" w:type="dxa"/>
            <w:vAlign w:val="center"/>
          </w:tcPr>
          <w:p>
            <w:pPr>
              <w:spacing w:line="420" w:lineRule="exact"/>
              <w:jc w:val="center"/>
              <w:rPr>
                <w:rFonts w:ascii="黑体" w:hAnsi="黑体" w:eastAsia="黑体"/>
                <w:color w:val="000000"/>
                <w:sz w:val="24"/>
              </w:rPr>
            </w:pPr>
          </w:p>
        </w:tc>
        <w:tc>
          <w:tcPr>
            <w:tcW w:w="1268" w:type="dxa"/>
            <w:vAlign w:val="center"/>
          </w:tcPr>
          <w:p>
            <w:pPr>
              <w:spacing w:line="420" w:lineRule="exact"/>
              <w:jc w:val="center"/>
              <w:rPr>
                <w:rFonts w:ascii="黑体" w:hAnsi="黑体" w:eastAsia="黑体"/>
                <w:color w:val="000000"/>
                <w:sz w:val="24"/>
              </w:rPr>
            </w:pPr>
          </w:p>
        </w:tc>
        <w:tc>
          <w:tcPr>
            <w:tcW w:w="1284"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55" w:type="dxa"/>
            <w:vAlign w:val="center"/>
          </w:tcPr>
          <w:p>
            <w:pPr>
              <w:spacing w:line="420" w:lineRule="exact"/>
              <w:jc w:val="center"/>
              <w:rPr>
                <w:rFonts w:ascii="黑体" w:hAnsi="黑体" w:eastAsia="黑体"/>
                <w:color w:val="000000"/>
                <w:sz w:val="24"/>
              </w:rPr>
            </w:pPr>
          </w:p>
        </w:tc>
        <w:tc>
          <w:tcPr>
            <w:tcW w:w="1234" w:type="dxa"/>
            <w:vAlign w:val="center"/>
          </w:tcPr>
          <w:p>
            <w:pPr>
              <w:spacing w:line="420" w:lineRule="exact"/>
              <w:jc w:val="center"/>
              <w:rPr>
                <w:rFonts w:ascii="黑体" w:hAns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3</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4</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5</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6</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7</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6" w:type="dxa"/>
          </w:tcPr>
          <w:p>
            <w:pPr>
              <w:spacing w:line="590" w:lineRule="exact"/>
              <w:jc w:val="center"/>
              <w:rPr>
                <w:rFonts w:ascii="仿宋_GB2312" w:hAnsi="华文中宋" w:eastAsia="仿宋_GB2312"/>
                <w:color w:val="000000"/>
                <w:sz w:val="28"/>
                <w:szCs w:val="28"/>
              </w:rPr>
            </w:pPr>
            <w:r>
              <w:rPr>
                <w:rFonts w:hint="eastAsia" w:ascii="仿宋_GB2312" w:hAnsi="华文中宋" w:eastAsia="仿宋_GB2312"/>
                <w:color w:val="000000"/>
                <w:sz w:val="28"/>
                <w:szCs w:val="28"/>
              </w:rPr>
              <w:t>……</w:t>
            </w:r>
          </w:p>
        </w:tc>
        <w:tc>
          <w:tcPr>
            <w:tcW w:w="1815" w:type="dxa"/>
          </w:tcPr>
          <w:p>
            <w:pPr>
              <w:spacing w:line="590" w:lineRule="exact"/>
              <w:jc w:val="center"/>
              <w:rPr>
                <w:rFonts w:ascii="仿宋_GB2312" w:hAnsi="华文中宋" w:eastAsia="仿宋_GB2312"/>
                <w:color w:val="000000"/>
                <w:sz w:val="28"/>
                <w:szCs w:val="28"/>
              </w:rPr>
            </w:pPr>
          </w:p>
        </w:tc>
        <w:tc>
          <w:tcPr>
            <w:tcW w:w="1388" w:type="dxa"/>
          </w:tcPr>
          <w:p>
            <w:pPr>
              <w:spacing w:line="590" w:lineRule="exact"/>
              <w:jc w:val="center"/>
              <w:rPr>
                <w:rFonts w:ascii="仿宋_GB2312" w:hAnsi="华文中宋" w:eastAsia="仿宋_GB2312"/>
                <w:color w:val="000000"/>
                <w:sz w:val="28"/>
                <w:szCs w:val="28"/>
              </w:rPr>
            </w:pPr>
          </w:p>
        </w:tc>
        <w:tc>
          <w:tcPr>
            <w:tcW w:w="1299" w:type="dxa"/>
          </w:tcPr>
          <w:p>
            <w:pPr>
              <w:spacing w:line="590" w:lineRule="exact"/>
              <w:jc w:val="center"/>
              <w:rPr>
                <w:rFonts w:ascii="仿宋_GB2312" w:hAnsi="华文中宋" w:eastAsia="仿宋_GB2312"/>
                <w:color w:val="000000"/>
                <w:sz w:val="28"/>
                <w:szCs w:val="28"/>
              </w:rPr>
            </w:pPr>
          </w:p>
        </w:tc>
        <w:tc>
          <w:tcPr>
            <w:tcW w:w="1389" w:type="dxa"/>
          </w:tcPr>
          <w:p>
            <w:pPr>
              <w:spacing w:line="590" w:lineRule="exact"/>
              <w:jc w:val="center"/>
              <w:rPr>
                <w:rFonts w:ascii="仿宋_GB2312" w:hAnsi="华文中宋" w:eastAsia="仿宋_GB2312"/>
                <w:color w:val="000000"/>
                <w:sz w:val="28"/>
                <w:szCs w:val="28"/>
              </w:rPr>
            </w:pPr>
          </w:p>
        </w:tc>
        <w:tc>
          <w:tcPr>
            <w:tcW w:w="1268" w:type="dxa"/>
          </w:tcPr>
          <w:p>
            <w:pPr>
              <w:spacing w:line="590" w:lineRule="exact"/>
              <w:jc w:val="center"/>
              <w:rPr>
                <w:rFonts w:ascii="仿宋_GB2312" w:hAnsi="华文中宋" w:eastAsia="仿宋_GB2312"/>
                <w:color w:val="000000"/>
                <w:sz w:val="28"/>
                <w:szCs w:val="28"/>
              </w:rPr>
            </w:pPr>
          </w:p>
        </w:tc>
        <w:tc>
          <w:tcPr>
            <w:tcW w:w="1284"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55" w:type="dxa"/>
          </w:tcPr>
          <w:p>
            <w:pPr>
              <w:spacing w:line="590" w:lineRule="exact"/>
              <w:jc w:val="center"/>
              <w:rPr>
                <w:rFonts w:ascii="仿宋_GB2312" w:hAnsi="华文中宋" w:eastAsia="仿宋_GB2312"/>
                <w:color w:val="000000"/>
                <w:sz w:val="28"/>
                <w:szCs w:val="28"/>
              </w:rPr>
            </w:pPr>
          </w:p>
        </w:tc>
        <w:tc>
          <w:tcPr>
            <w:tcW w:w="1234" w:type="dxa"/>
          </w:tcPr>
          <w:p>
            <w:pPr>
              <w:spacing w:line="590" w:lineRule="exact"/>
              <w:jc w:val="center"/>
              <w:rPr>
                <w:rFonts w:ascii="仿宋_GB2312" w:hAnsi="华文中宋" w:eastAsia="仿宋_GB2312"/>
                <w:color w:val="000000"/>
                <w:sz w:val="28"/>
                <w:szCs w:val="28"/>
              </w:rPr>
            </w:pPr>
          </w:p>
        </w:tc>
      </w:tr>
    </w:tbl>
    <w:p>
      <w:pPr>
        <w:spacing w:line="590" w:lineRule="exact"/>
        <w:rPr>
          <w:rFonts w:hint="eastAsia" w:ascii="仿宋_GB2312" w:hAnsi="楷体_GB2312" w:eastAsia="仿宋_GB2312" w:cs="仿宋_GB2312"/>
          <w:sz w:val="28"/>
          <w:szCs w:val="28"/>
        </w:rPr>
      </w:pPr>
      <w:r>
        <w:rPr>
          <w:rFonts w:hint="eastAsia" w:ascii="仿宋_GB2312" w:hAnsi="楷体_GB2312" w:eastAsia="仿宋_GB2312" w:cs="仿宋_GB2312"/>
          <w:sz w:val="28"/>
          <w:szCs w:val="28"/>
        </w:rPr>
        <w:t xml:space="preserve">监督科审核责任人： </w:t>
      </w:r>
      <w:r>
        <w:rPr>
          <w:rFonts w:hint="eastAsia" w:ascii="仿宋_GB2312" w:hAnsi="楷体_GB2312" w:eastAsia="仿宋_GB2312" w:cs="仿宋_GB2312"/>
          <w:sz w:val="28"/>
          <w:szCs w:val="28"/>
          <w:lang w:val="en-US" w:eastAsia="zh-CN"/>
        </w:rPr>
        <w:t xml:space="preserve">                                          </w:t>
      </w:r>
      <w:r>
        <w:rPr>
          <w:rFonts w:hint="eastAsia" w:ascii="仿宋_GB2312" w:hAnsi="楷体_GB2312" w:eastAsia="仿宋_GB2312" w:cs="仿宋_GB2312"/>
          <w:sz w:val="28"/>
          <w:szCs w:val="28"/>
        </w:rPr>
        <w:t>联系电话：</w:t>
      </w:r>
      <w:bookmarkEnd w:id="0"/>
    </w:p>
    <w:p>
      <w:pPr>
        <w:spacing w:line="590" w:lineRule="exact"/>
        <w:rPr>
          <w:rFonts w:ascii="仿宋_GB2312" w:hAnsi="楷体_GB2312" w:eastAsia="仿宋_GB2312" w:cs="仿宋_GB2312"/>
          <w:sz w:val="28"/>
          <w:szCs w:val="28"/>
        </w:rPr>
        <w:sectPr>
          <w:footerReference r:id="rId5" w:type="default"/>
          <w:pgSz w:w="16838" w:h="11906" w:orient="landscape"/>
          <w:pgMar w:top="1418" w:right="1418" w:bottom="1418" w:left="1418" w:header="851" w:footer="992" w:gutter="0"/>
          <w:cols w:space="720" w:num="1"/>
          <w:docGrid w:type="lines" w:linePitch="312" w:charSpace="0"/>
        </w:sectPr>
      </w:pPr>
    </w:p>
    <w:p>
      <w:pPr>
        <w:spacing w:line="590" w:lineRule="exact"/>
        <w:rPr>
          <w:rFonts w:hint="eastAsia" w:ascii="仿宋_GB2312" w:hAnsi="楷体_GB2312" w:eastAsia="仿宋_GB2312" w:cs="仿宋_GB2312"/>
          <w:sz w:val="28"/>
          <w:szCs w:val="28"/>
        </w:rPr>
      </w:pPr>
    </w:p>
    <w:p>
      <w:pPr>
        <w:spacing w:line="590" w:lineRule="exact"/>
        <w:rPr>
          <w:rFonts w:hint="eastAsia" w:ascii="仿宋_GB2312" w:hAnsi="楷体_GB2312" w:eastAsia="仿宋_GB2312" w:cs="仿宋_GB2312"/>
          <w:sz w:val="28"/>
          <w:szCs w:val="28"/>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bookmarkStart w:id="1" w:name="_GoBack"/>
      <w:bookmarkEnd w:id="1"/>
    </w:p>
    <w:p>
      <w:pPr>
        <w:spacing w:line="600" w:lineRule="exact"/>
        <w:ind w:firstLine="420" w:firstLineChars="200"/>
        <w:rPr>
          <w:rFonts w:hint="eastAsia" w:ascii="仿宋_GB2312" w:hAnsi="仿宋"/>
          <w:color w:val="000000"/>
          <w:szCs w:val="32"/>
        </w:rPr>
      </w:pPr>
    </w:p>
    <w:p>
      <w:pPr>
        <w:spacing w:line="600" w:lineRule="exact"/>
        <w:ind w:firstLine="420" w:firstLineChars="200"/>
        <w:rPr>
          <w:rFonts w:hint="eastAsia" w:ascii="仿宋_GB2312" w:hAnsi="仿宋"/>
          <w:color w:val="000000"/>
          <w:szCs w:val="32"/>
        </w:rPr>
      </w:pPr>
    </w:p>
    <w:p>
      <w:pPr>
        <w:widowControl/>
        <w:ind w:firstLine="600"/>
        <w:rPr>
          <w:rFonts w:hint="eastAsia" w:ascii="仿宋_GB2312" w:eastAsia="宋体" w:cs="仿宋_GB2312"/>
          <w:kern w:val="0"/>
          <w:sz w:val="30"/>
          <w:szCs w:val="30"/>
        </w:rPr>
      </w:pPr>
    </w:p>
    <w:tbl>
      <w:tblPr>
        <w:tblStyle w:val="5"/>
        <w:tblW w:w="9075" w:type="dxa"/>
        <w:jc w:val="center"/>
        <w:tblInd w:w="0" w:type="dxa"/>
        <w:tblLayout w:type="fixed"/>
        <w:tblCellMar>
          <w:top w:w="0" w:type="dxa"/>
          <w:left w:w="108" w:type="dxa"/>
          <w:bottom w:w="0" w:type="dxa"/>
          <w:right w:w="108" w:type="dxa"/>
        </w:tblCellMar>
      </w:tblPr>
      <w:tblGrid>
        <w:gridCol w:w="9075"/>
      </w:tblGrid>
      <w:tr>
        <w:tblPrEx>
          <w:tblLayout w:type="fixed"/>
        </w:tblPrEx>
        <w:trPr>
          <w:trHeight w:val="255" w:hRule="atLeast"/>
          <w:jc w:val="center"/>
        </w:trPr>
        <w:tc>
          <w:tcPr>
            <w:tcW w:w="9075" w:type="dxa"/>
            <w:tcBorders>
              <w:top w:val="single" w:color="000000" w:sz="4" w:space="0"/>
              <w:left w:val="nil"/>
              <w:bottom w:val="single" w:color="000000" w:sz="4" w:space="0"/>
              <w:right w:val="nil"/>
            </w:tcBorders>
            <w:noWrap w:val="0"/>
            <w:vAlign w:val="top"/>
          </w:tcPr>
          <w:p>
            <w:pPr>
              <w:widowControl/>
              <w:spacing w:line="400" w:lineRule="atLeast"/>
              <w:ind w:firstLine="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南阳市卫生健康委办公室                     2019年5月</w:t>
            </w:r>
            <w:r>
              <w:rPr>
                <w:rFonts w:hint="eastAsia" w:ascii="仿宋_GB2312" w:hAnsi="仿宋_GB2312" w:eastAsia="仿宋_GB2312" w:cs="仿宋_GB2312"/>
                <w:kern w:val="0"/>
                <w:sz w:val="28"/>
                <w:szCs w:val="28"/>
                <w:lang w:val="en-US" w:eastAsia="zh-CN" w:bidi="ar"/>
              </w:rPr>
              <w:t>20</w:t>
            </w:r>
            <w:r>
              <w:rPr>
                <w:rFonts w:hint="eastAsia" w:ascii="仿宋_GB2312" w:hAnsi="仿宋_GB2312" w:eastAsia="仿宋_GB2312" w:cs="仿宋_GB2312"/>
                <w:kern w:val="0"/>
                <w:sz w:val="28"/>
                <w:szCs w:val="28"/>
                <w:lang w:bidi="ar"/>
              </w:rPr>
              <w:t>日印发</w:t>
            </w:r>
          </w:p>
        </w:tc>
      </w:tr>
    </w:tbl>
    <w:p>
      <w:pPr>
        <w:spacing w:line="40" w:lineRule="exact"/>
      </w:pPr>
    </w:p>
    <w:sectPr>
      <w:pgSz w:w="11906" w:h="16838"/>
      <w:pgMar w:top="141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6631"/>
      <w:docPartObj>
        <w:docPartGallery w:val="autotext"/>
      </w:docPartObj>
    </w:sdtPr>
    <w:sdtContent>
      <w:p>
        <w:pPr>
          <w:pStyle w:val="3"/>
          <w:jc w:val="right"/>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6643"/>
      <w:docPartObj>
        <w:docPartGallery w:val="autotext"/>
      </w:docPartObj>
    </w:sdtPr>
    <w:sdtContent>
      <w:p>
        <w:pPr>
          <w:pStyle w:val="3"/>
        </w:pPr>
        <w:r>
          <w:rPr>
            <w:rFonts w:hint="eastAsia"/>
            <w:sz w:val="28"/>
            <w:szCs w:val="28"/>
          </w:rPr>
          <w:t>—</w:t>
        </w:r>
        <w:r>
          <w:rPr>
            <w:rFonts w:hint="eastAsia"/>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24</w:t>
        </w:r>
        <w:r>
          <w:rPr>
            <w:rFonts w:ascii="Times New Roman" w:hAnsi="Times New Roman"/>
            <w:sz w:val="28"/>
            <w:szCs w:val="28"/>
          </w:rPr>
          <w:fldChar w:fldCharType="end"/>
        </w:r>
        <w:r>
          <w:rPr>
            <w:rFonts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23</w:t>
    </w:r>
    <w:r>
      <w:rPr>
        <w:rFonts w:ascii="Times New Roman" w:hAnsi="Times New Roman"/>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2189"/>
    <w:rsid w:val="00010BC3"/>
    <w:rsid w:val="00010D39"/>
    <w:rsid w:val="00014CB0"/>
    <w:rsid w:val="00035EC6"/>
    <w:rsid w:val="00044F76"/>
    <w:rsid w:val="0006585E"/>
    <w:rsid w:val="00067668"/>
    <w:rsid w:val="00080285"/>
    <w:rsid w:val="0009162B"/>
    <w:rsid w:val="000A11B3"/>
    <w:rsid w:val="000A4502"/>
    <w:rsid w:val="000B1CAD"/>
    <w:rsid w:val="000D69C8"/>
    <w:rsid w:val="000E6FFF"/>
    <w:rsid w:val="00111CDE"/>
    <w:rsid w:val="00127E59"/>
    <w:rsid w:val="001302FF"/>
    <w:rsid w:val="00142475"/>
    <w:rsid w:val="00165245"/>
    <w:rsid w:val="001A51F5"/>
    <w:rsid w:val="001B49FA"/>
    <w:rsid w:val="001B7644"/>
    <w:rsid w:val="001E012A"/>
    <w:rsid w:val="001E38DD"/>
    <w:rsid w:val="001E3A0B"/>
    <w:rsid w:val="00244AF4"/>
    <w:rsid w:val="0024569B"/>
    <w:rsid w:val="00252298"/>
    <w:rsid w:val="00252C30"/>
    <w:rsid w:val="0026068B"/>
    <w:rsid w:val="0026769D"/>
    <w:rsid w:val="00280EA6"/>
    <w:rsid w:val="002938B5"/>
    <w:rsid w:val="0029667D"/>
    <w:rsid w:val="002B0FE9"/>
    <w:rsid w:val="002E0F16"/>
    <w:rsid w:val="0030511B"/>
    <w:rsid w:val="00322802"/>
    <w:rsid w:val="00324B53"/>
    <w:rsid w:val="00345658"/>
    <w:rsid w:val="00347196"/>
    <w:rsid w:val="00352004"/>
    <w:rsid w:val="00373295"/>
    <w:rsid w:val="00382801"/>
    <w:rsid w:val="00382944"/>
    <w:rsid w:val="003A1379"/>
    <w:rsid w:val="003B43F6"/>
    <w:rsid w:val="003C5D32"/>
    <w:rsid w:val="00414915"/>
    <w:rsid w:val="00424B96"/>
    <w:rsid w:val="004648F5"/>
    <w:rsid w:val="004725C2"/>
    <w:rsid w:val="004B6701"/>
    <w:rsid w:val="00522C47"/>
    <w:rsid w:val="0052578E"/>
    <w:rsid w:val="00536127"/>
    <w:rsid w:val="00537DAB"/>
    <w:rsid w:val="0057366E"/>
    <w:rsid w:val="005A14C7"/>
    <w:rsid w:val="005B79D9"/>
    <w:rsid w:val="005D2B55"/>
    <w:rsid w:val="005D46EF"/>
    <w:rsid w:val="0063641F"/>
    <w:rsid w:val="006472CA"/>
    <w:rsid w:val="00651B1C"/>
    <w:rsid w:val="006539D1"/>
    <w:rsid w:val="006618AC"/>
    <w:rsid w:val="006619CC"/>
    <w:rsid w:val="00673549"/>
    <w:rsid w:val="00681DF9"/>
    <w:rsid w:val="00681FF6"/>
    <w:rsid w:val="006B1A8C"/>
    <w:rsid w:val="006B1FA5"/>
    <w:rsid w:val="006B59AD"/>
    <w:rsid w:val="006D440A"/>
    <w:rsid w:val="006E35AC"/>
    <w:rsid w:val="00715411"/>
    <w:rsid w:val="00770AC6"/>
    <w:rsid w:val="007B07F1"/>
    <w:rsid w:val="007C576C"/>
    <w:rsid w:val="007E3D09"/>
    <w:rsid w:val="007F0457"/>
    <w:rsid w:val="007F0C81"/>
    <w:rsid w:val="00814EF3"/>
    <w:rsid w:val="00827CEB"/>
    <w:rsid w:val="00845553"/>
    <w:rsid w:val="008519D9"/>
    <w:rsid w:val="00861550"/>
    <w:rsid w:val="00862F60"/>
    <w:rsid w:val="00863DAA"/>
    <w:rsid w:val="008825C3"/>
    <w:rsid w:val="008A308F"/>
    <w:rsid w:val="008A5FD0"/>
    <w:rsid w:val="008B5E02"/>
    <w:rsid w:val="008B6F6E"/>
    <w:rsid w:val="008C418F"/>
    <w:rsid w:val="008D0C2B"/>
    <w:rsid w:val="008D1199"/>
    <w:rsid w:val="008D6D0A"/>
    <w:rsid w:val="008E61EF"/>
    <w:rsid w:val="008F2151"/>
    <w:rsid w:val="008F2871"/>
    <w:rsid w:val="008F5AF5"/>
    <w:rsid w:val="0091466D"/>
    <w:rsid w:val="0092088D"/>
    <w:rsid w:val="00942A86"/>
    <w:rsid w:val="00943B8F"/>
    <w:rsid w:val="009458CF"/>
    <w:rsid w:val="009502A2"/>
    <w:rsid w:val="00954B68"/>
    <w:rsid w:val="0097011A"/>
    <w:rsid w:val="00992F9D"/>
    <w:rsid w:val="00997CC8"/>
    <w:rsid w:val="009B55CE"/>
    <w:rsid w:val="009C6F90"/>
    <w:rsid w:val="009E2410"/>
    <w:rsid w:val="009E2BF6"/>
    <w:rsid w:val="009E7425"/>
    <w:rsid w:val="009F3294"/>
    <w:rsid w:val="00A10825"/>
    <w:rsid w:val="00A13EC3"/>
    <w:rsid w:val="00A14D5B"/>
    <w:rsid w:val="00A23AF1"/>
    <w:rsid w:val="00A33B8F"/>
    <w:rsid w:val="00A67121"/>
    <w:rsid w:val="00A91B7A"/>
    <w:rsid w:val="00AA2390"/>
    <w:rsid w:val="00AA5C9C"/>
    <w:rsid w:val="00AA7037"/>
    <w:rsid w:val="00AB3D2A"/>
    <w:rsid w:val="00AE4252"/>
    <w:rsid w:val="00AF479A"/>
    <w:rsid w:val="00B1039A"/>
    <w:rsid w:val="00B10927"/>
    <w:rsid w:val="00B21A5E"/>
    <w:rsid w:val="00B30A8D"/>
    <w:rsid w:val="00B55358"/>
    <w:rsid w:val="00B64B34"/>
    <w:rsid w:val="00BB0AA0"/>
    <w:rsid w:val="00BB3449"/>
    <w:rsid w:val="00BC215C"/>
    <w:rsid w:val="00BC2896"/>
    <w:rsid w:val="00BD3154"/>
    <w:rsid w:val="00BE0122"/>
    <w:rsid w:val="00C01C33"/>
    <w:rsid w:val="00C03CB7"/>
    <w:rsid w:val="00C3317D"/>
    <w:rsid w:val="00C642B4"/>
    <w:rsid w:val="00C952CF"/>
    <w:rsid w:val="00CA764E"/>
    <w:rsid w:val="00CC408F"/>
    <w:rsid w:val="00CE2189"/>
    <w:rsid w:val="00CF0522"/>
    <w:rsid w:val="00CF7F32"/>
    <w:rsid w:val="00D119F1"/>
    <w:rsid w:val="00D21558"/>
    <w:rsid w:val="00D33C5D"/>
    <w:rsid w:val="00D37477"/>
    <w:rsid w:val="00D4315A"/>
    <w:rsid w:val="00D4792A"/>
    <w:rsid w:val="00D5558B"/>
    <w:rsid w:val="00D76145"/>
    <w:rsid w:val="00D91014"/>
    <w:rsid w:val="00D963EB"/>
    <w:rsid w:val="00DC1F3E"/>
    <w:rsid w:val="00DE6527"/>
    <w:rsid w:val="00E2175F"/>
    <w:rsid w:val="00E51D4C"/>
    <w:rsid w:val="00E61866"/>
    <w:rsid w:val="00E7261E"/>
    <w:rsid w:val="00E762EC"/>
    <w:rsid w:val="00E84D3D"/>
    <w:rsid w:val="00EA0C3B"/>
    <w:rsid w:val="00EA4D2A"/>
    <w:rsid w:val="00EB0B4B"/>
    <w:rsid w:val="00F35C46"/>
    <w:rsid w:val="00F3727A"/>
    <w:rsid w:val="00F72E69"/>
    <w:rsid w:val="00FA0D96"/>
    <w:rsid w:val="00FB3F22"/>
    <w:rsid w:val="00FE5192"/>
    <w:rsid w:val="00FF3470"/>
    <w:rsid w:val="041452B4"/>
    <w:rsid w:val="05843E6C"/>
    <w:rsid w:val="0C6D3688"/>
    <w:rsid w:val="0CD21019"/>
    <w:rsid w:val="0E566AE1"/>
    <w:rsid w:val="14D97FA1"/>
    <w:rsid w:val="14DE2671"/>
    <w:rsid w:val="1BB117CC"/>
    <w:rsid w:val="22787818"/>
    <w:rsid w:val="23BD0189"/>
    <w:rsid w:val="24BA673E"/>
    <w:rsid w:val="2A3C1505"/>
    <w:rsid w:val="2C8367DD"/>
    <w:rsid w:val="2EE36BB5"/>
    <w:rsid w:val="2F9C0A34"/>
    <w:rsid w:val="37361DFB"/>
    <w:rsid w:val="37CE34DA"/>
    <w:rsid w:val="3BE46BF7"/>
    <w:rsid w:val="3D502BD4"/>
    <w:rsid w:val="41D76144"/>
    <w:rsid w:val="474C1CA9"/>
    <w:rsid w:val="51EB036E"/>
    <w:rsid w:val="57AC66BD"/>
    <w:rsid w:val="646A38A9"/>
    <w:rsid w:val="6B105DFD"/>
    <w:rsid w:val="7AFC5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rPr>
      <w:rFonts w:asciiTheme="minorHAnsi" w:hAnsiTheme="minorHAnsi" w:eastAsiaTheme="minorEastAsia" w:cstheme="minorBidi"/>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link w:val="2"/>
    <w:qFormat/>
    <w:uiPriority w:val="99"/>
  </w:style>
  <w:style w:type="character" w:customStyle="1" w:styleId="11">
    <w:name w:val="日期 Char1"/>
    <w:basedOn w:val="6"/>
    <w:semiHidden/>
    <w:qFormat/>
    <w:uiPriority w:val="99"/>
    <w:rPr>
      <w:rFonts w:ascii="Calibri" w:hAnsi="Calibri" w:eastAsia="宋体" w:cs="Times New Roma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6894D-D967-4A43-B812-43FD9F9C3EF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14324</Words>
  <Characters>14763</Characters>
  <Lines>114</Lines>
  <Paragraphs>32</Paragraphs>
  <TotalTime>10</TotalTime>
  <ScaleCrop>false</ScaleCrop>
  <LinksUpToDate>false</LinksUpToDate>
  <CharactersWithSpaces>15201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2019-04-02T01:40:00Z</dcterms:created>
  <dc:creator>陈克</dc:creator>
  <cp:lastModifiedBy>Administrator</cp:lastModifiedBy>
  <dcterms:modified xsi:type="dcterms:W3CDTF">2019-05-22T08:53:10Z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